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Times New Roman"/>
          <w:sz w:val="20"/>
        </w:rPr>
      </w:pPr>
    </w:p>
    <w:p>
      <w:pPr>
        <w:pStyle w:val="4"/>
        <w:rPr>
          <w:rFonts w:hint="eastAsia" w:ascii="Times New Roman"/>
          <w:sz w:val="20"/>
        </w:rPr>
      </w:pPr>
    </w:p>
    <w:p>
      <w:pPr>
        <w:pStyle w:val="4"/>
        <w:rPr>
          <w:rFonts w:hint="eastAsia" w:ascii="Times New Roman"/>
          <w:sz w:val="20"/>
        </w:rPr>
      </w:pPr>
    </w:p>
    <w:p>
      <w:pPr>
        <w:pStyle w:val="4"/>
        <w:rPr>
          <w:rFonts w:hint="eastAsia" w:ascii="Times New Roman"/>
          <w:sz w:val="20"/>
        </w:rPr>
      </w:pPr>
    </w:p>
    <w:p>
      <w:pPr>
        <w:pStyle w:val="4"/>
        <w:rPr>
          <w:rFonts w:hint="eastAsia" w:ascii="Times New Roman"/>
          <w:sz w:val="20"/>
        </w:rPr>
      </w:pPr>
    </w:p>
    <w:p>
      <w:pPr>
        <w:pStyle w:val="4"/>
        <w:rPr>
          <w:rFonts w:hint="eastAsia" w:ascii="Times New Roman"/>
          <w:sz w:val="20"/>
        </w:rPr>
      </w:pPr>
    </w:p>
    <w:p>
      <w:pPr>
        <w:pStyle w:val="4"/>
        <w:rPr>
          <w:rFonts w:hint="eastAsia" w:ascii="Times New Roman"/>
          <w:sz w:val="20"/>
        </w:rPr>
      </w:pPr>
    </w:p>
    <w:p>
      <w:pPr>
        <w:pStyle w:val="4"/>
        <w:rPr>
          <w:rFonts w:hint="eastAsia" w:ascii="Times New Roman"/>
          <w:sz w:val="20"/>
        </w:rPr>
      </w:pPr>
    </w:p>
    <w:p>
      <w:pPr>
        <w:pStyle w:val="2"/>
        <w:spacing w:before="203" w:line="362" w:lineRule="auto"/>
        <w:ind w:right="1316"/>
        <w:rPr>
          <w:rFonts w:hint="eastAsia"/>
          <w:lang w:eastAsia="zh-CN"/>
        </w:rPr>
      </w:pPr>
      <w:bookmarkStart w:id="0" w:name="_GoBack"/>
      <w:r>
        <w:rPr>
          <w:spacing w:val="2"/>
          <w:w w:val="99"/>
          <w:lang w:eastAsia="zh-CN"/>
        </w:rPr>
        <w:t>关于</w:t>
      </w:r>
      <w:r>
        <w:rPr>
          <w:rFonts w:hint="eastAsia"/>
          <w:spacing w:val="2"/>
          <w:w w:val="99"/>
          <w:lang w:eastAsia="zh-CN"/>
        </w:rPr>
        <w:t>2024年广东省“消费帮扶金秋行动”之“寻味广东”美食文化展等</w:t>
      </w:r>
      <w:r>
        <w:rPr>
          <w:rFonts w:hint="eastAsia"/>
          <w:spacing w:val="2"/>
          <w:w w:val="99"/>
          <w:lang w:val="en-US" w:eastAsia="zh-CN"/>
        </w:rPr>
        <w:t>8个展览展销活动</w:t>
      </w:r>
      <w:r>
        <w:rPr>
          <w:lang w:eastAsia="zh-CN"/>
        </w:rPr>
        <w:t>项目</w:t>
      </w:r>
      <w:r>
        <w:rPr>
          <w:rFonts w:hint="eastAsia"/>
          <w:lang w:eastAsia="zh-CN"/>
        </w:rPr>
        <w:t>经费使用情况</w:t>
      </w:r>
      <w:r>
        <w:rPr>
          <w:lang w:eastAsia="zh-CN"/>
        </w:rPr>
        <w:t>的</w:t>
      </w:r>
    </w:p>
    <w:p>
      <w:pPr>
        <w:pStyle w:val="2"/>
        <w:spacing w:before="203" w:line="362" w:lineRule="auto"/>
        <w:ind w:right="1316"/>
        <w:rPr>
          <w:rFonts w:hint="eastAsia" w:ascii="黑体" w:hAnsi="黑体" w:eastAsia="黑体"/>
          <w:lang w:eastAsia="zh-CN"/>
        </w:rPr>
      </w:pPr>
      <w:r>
        <w:rPr>
          <w:rFonts w:ascii="黑体" w:hAnsi="黑体" w:eastAsia="黑体"/>
          <w:w w:val="95"/>
          <w:lang w:eastAsia="zh-CN"/>
        </w:rPr>
        <w:t>专项审</w:t>
      </w:r>
      <w:r>
        <w:rPr>
          <w:rFonts w:ascii="黑体" w:hAnsi="黑体" w:eastAsia="黑体"/>
          <w:spacing w:val="-4"/>
          <w:w w:val="95"/>
          <w:lang w:eastAsia="zh-CN"/>
        </w:rPr>
        <w:t>计报告</w:t>
      </w:r>
    </w:p>
    <w:bookmarkEnd w:id="0"/>
    <w:p>
      <w:pPr>
        <w:pStyle w:val="4"/>
        <w:rPr>
          <w:rFonts w:hint="eastAsia"/>
          <w:b/>
          <w:sz w:val="36"/>
          <w:lang w:eastAsia="zh-CN"/>
        </w:rPr>
      </w:pPr>
    </w:p>
    <w:p>
      <w:pPr>
        <w:pStyle w:val="4"/>
        <w:rPr>
          <w:rFonts w:hint="eastAsia"/>
          <w:b/>
          <w:sz w:val="36"/>
          <w:lang w:eastAsia="zh-CN"/>
        </w:rPr>
      </w:pPr>
    </w:p>
    <w:p>
      <w:pPr>
        <w:pStyle w:val="4"/>
        <w:rPr>
          <w:rFonts w:hint="eastAsia"/>
          <w:b/>
          <w:sz w:val="36"/>
          <w:lang w:eastAsia="zh-CN"/>
        </w:rPr>
      </w:pPr>
    </w:p>
    <w:p>
      <w:pPr>
        <w:pStyle w:val="4"/>
        <w:spacing w:before="1"/>
        <w:rPr>
          <w:rFonts w:hint="eastAsia"/>
          <w:b/>
          <w:sz w:val="30"/>
          <w:lang w:eastAsia="zh-CN"/>
        </w:rPr>
      </w:pPr>
    </w:p>
    <w:p>
      <w:pPr>
        <w:tabs>
          <w:tab w:val="left" w:pos="1950"/>
          <w:tab w:val="left" w:pos="3499"/>
          <w:tab w:val="left" w:pos="4204"/>
          <w:tab w:val="left" w:pos="5897"/>
          <w:tab w:val="left" w:pos="6322"/>
          <w:tab w:val="left" w:pos="7027"/>
          <w:tab w:val="left" w:pos="7728"/>
        </w:tabs>
        <w:spacing w:before="1"/>
        <w:ind w:left="1242"/>
        <w:rPr>
          <w:rFonts w:hint="eastAsia"/>
          <w:b/>
          <w:sz w:val="28"/>
          <w:lang w:eastAsia="zh-CN"/>
        </w:rPr>
      </w:pPr>
      <w:r>
        <w:rPr>
          <w:rFonts w:ascii="Times New Roman" w:eastAsia="Times New Roman"/>
          <w:b/>
          <w:sz w:val="28"/>
          <w:u w:val="single"/>
          <w:lang w:eastAsia="zh-CN"/>
        </w:rPr>
        <w:tab/>
      </w:r>
      <w:r>
        <w:rPr>
          <w:b/>
          <w:spacing w:val="-10"/>
          <w:sz w:val="28"/>
          <w:u w:val="single"/>
          <w:lang w:eastAsia="zh-CN"/>
        </w:rPr>
        <w:t>目</w:t>
      </w:r>
      <w:r>
        <w:rPr>
          <w:b/>
          <w:sz w:val="28"/>
          <w:u w:val="single"/>
          <w:lang w:eastAsia="zh-CN"/>
        </w:rPr>
        <w:tab/>
      </w:r>
      <w:r>
        <w:rPr>
          <w:b/>
          <w:spacing w:val="-10"/>
          <w:sz w:val="28"/>
          <w:u w:val="single"/>
          <w:lang w:eastAsia="zh-CN"/>
        </w:rPr>
        <w:t>录</w:t>
      </w:r>
      <w:r>
        <w:rPr>
          <w:b/>
          <w:sz w:val="28"/>
          <w:u w:val="single"/>
          <w:lang w:eastAsia="zh-CN"/>
        </w:rPr>
        <w:tab/>
      </w:r>
      <w:r>
        <w:rPr>
          <w:b/>
          <w:sz w:val="28"/>
          <w:lang w:eastAsia="zh-CN"/>
        </w:rPr>
        <w:tab/>
      </w:r>
      <w:r>
        <w:rPr>
          <w:rFonts w:ascii="Times New Roman" w:eastAsia="Times New Roman"/>
          <w:b/>
          <w:sz w:val="28"/>
          <w:u w:val="single"/>
          <w:lang w:eastAsia="zh-CN"/>
        </w:rPr>
        <w:tab/>
      </w:r>
      <w:r>
        <w:rPr>
          <w:b/>
          <w:spacing w:val="-10"/>
          <w:sz w:val="28"/>
          <w:u w:val="single"/>
          <w:lang w:eastAsia="zh-CN"/>
        </w:rPr>
        <w:t>页</w:t>
      </w:r>
      <w:r>
        <w:rPr>
          <w:b/>
          <w:sz w:val="28"/>
          <w:u w:val="single"/>
          <w:lang w:eastAsia="zh-CN"/>
        </w:rPr>
        <w:tab/>
      </w:r>
      <w:r>
        <w:rPr>
          <w:b/>
          <w:spacing w:val="-10"/>
          <w:sz w:val="28"/>
          <w:u w:val="single"/>
          <w:lang w:eastAsia="zh-CN"/>
        </w:rPr>
        <w:t>次</w:t>
      </w:r>
      <w:r>
        <w:rPr>
          <w:b/>
          <w:sz w:val="28"/>
          <w:u w:val="single"/>
          <w:lang w:eastAsia="zh-CN"/>
        </w:rPr>
        <w:tab/>
      </w:r>
    </w:p>
    <w:p>
      <w:pPr>
        <w:pStyle w:val="4"/>
        <w:rPr>
          <w:rFonts w:hint="eastAsia"/>
          <w:b/>
          <w:sz w:val="20"/>
          <w:lang w:eastAsia="zh-CN"/>
        </w:rPr>
      </w:pPr>
    </w:p>
    <w:p>
      <w:pPr>
        <w:pStyle w:val="4"/>
        <w:spacing w:before="6"/>
        <w:rPr>
          <w:rFonts w:hint="eastAsia"/>
          <w:b/>
          <w:sz w:val="18"/>
          <w:lang w:eastAsia="zh-CN"/>
        </w:rPr>
      </w:pPr>
    </w:p>
    <w:p>
      <w:pPr>
        <w:rPr>
          <w:rFonts w:hint="eastAsia"/>
          <w:sz w:val="18"/>
          <w:lang w:eastAsia="zh-CN"/>
        </w:rPr>
        <w:sectPr>
          <w:pgSz w:w="11910" w:h="16840"/>
          <w:pgMar w:top="1580" w:right="160" w:bottom="0" w:left="1460" w:header="720" w:footer="720" w:gutter="0"/>
          <w:cols w:space="720" w:num="1"/>
        </w:sectPr>
      </w:pPr>
    </w:p>
    <w:p>
      <w:pPr>
        <w:pStyle w:val="4"/>
        <w:spacing w:before="66"/>
        <w:ind w:left="1559"/>
        <w:rPr>
          <w:rFonts w:hint="eastAsia"/>
          <w:lang w:eastAsia="zh-CN"/>
        </w:rPr>
      </w:pPr>
      <w:r>
        <w:rPr>
          <w:spacing w:val="-2"/>
          <w:lang w:eastAsia="zh-CN"/>
        </w:rPr>
        <w:t>一、审计报告书</w:t>
      </w:r>
    </w:p>
    <w:p>
      <w:pPr>
        <w:pStyle w:val="4"/>
        <w:rPr>
          <w:rFonts w:hint="eastAsia"/>
          <w:lang w:eastAsia="zh-CN"/>
        </w:rPr>
      </w:pPr>
    </w:p>
    <w:p>
      <w:pPr>
        <w:pStyle w:val="4"/>
        <w:spacing w:before="154"/>
        <w:ind w:left="1559"/>
        <w:rPr>
          <w:rFonts w:hint="eastAsia"/>
          <w:lang w:eastAsia="zh-CN"/>
        </w:rPr>
      </w:pPr>
      <w:r>
        <w:rPr>
          <w:spacing w:val="-3"/>
          <w:lang w:eastAsia="zh-CN"/>
        </w:rPr>
        <w:t>二、活动项目费用明细表</w:t>
      </w:r>
    </w:p>
    <w:p>
      <w:pPr>
        <w:spacing w:before="66"/>
        <w:ind w:left="1559"/>
        <w:rPr>
          <w:rFonts w:hint="eastAsia"/>
          <w:sz w:val="24"/>
          <w:lang w:eastAsia="zh-CN"/>
        </w:rPr>
      </w:pPr>
      <w:r>
        <w:rPr>
          <w:lang w:eastAsia="zh-CN"/>
        </w:rPr>
        <w:br w:type="column"/>
      </w:r>
      <w:r>
        <w:rPr>
          <w:sz w:val="24"/>
          <w:lang w:eastAsia="zh-CN"/>
        </w:rPr>
        <w:t>1-</w:t>
      </w:r>
      <w:r>
        <w:rPr>
          <w:rFonts w:hint="eastAsia"/>
          <w:sz w:val="24"/>
          <w:lang w:eastAsia="zh-CN"/>
        </w:rPr>
        <w:t>6</w:t>
      </w:r>
    </w:p>
    <w:p>
      <w:pPr>
        <w:pStyle w:val="4"/>
        <w:rPr>
          <w:rFonts w:hint="eastAsia"/>
          <w:lang w:eastAsia="zh-CN"/>
        </w:rPr>
      </w:pPr>
    </w:p>
    <w:p>
      <w:pPr>
        <w:pStyle w:val="4"/>
        <w:spacing w:before="154"/>
        <w:ind w:firstLine="1440" w:firstLineChars="600"/>
        <w:rPr>
          <w:rFonts w:hint="eastAsia"/>
          <w:lang w:eastAsia="zh-CN"/>
        </w:rPr>
      </w:pPr>
      <w:r>
        <w:rPr>
          <w:lang w:eastAsia="zh-CN"/>
        </w:rPr>
        <w:t>7-</w:t>
      </w:r>
      <w:r>
        <w:rPr>
          <w:rFonts w:hint="eastAsia"/>
          <w:spacing w:val="-5"/>
          <w:lang w:eastAsia="zh-CN"/>
        </w:rPr>
        <w:t>1</w:t>
      </w:r>
      <w:r>
        <w:rPr>
          <w:spacing w:val="-5"/>
          <w:lang w:eastAsia="zh-CN"/>
        </w:rPr>
        <w:t>1</w:t>
      </w:r>
    </w:p>
    <w:p>
      <w:pPr>
        <w:rPr>
          <w:rFonts w:hint="eastAsia"/>
          <w:lang w:eastAsia="zh-CN"/>
        </w:rPr>
        <w:sectPr>
          <w:footerReference r:id="rId3" w:type="default"/>
          <w:type w:val="continuous"/>
          <w:pgSz w:w="11910" w:h="16840"/>
          <w:pgMar w:top="1580" w:right="160" w:bottom="0" w:left="1460" w:header="720" w:footer="720" w:gutter="0"/>
          <w:cols w:equalWidth="0" w:num="2">
            <w:col w:w="4241" w:space="832"/>
            <w:col w:w="5217"/>
          </w:cols>
        </w:sectPr>
      </w:pPr>
    </w:p>
    <w:p>
      <w:pPr>
        <w:pStyle w:val="4"/>
        <w:rPr>
          <w:rFonts w:hint="eastAsia"/>
          <w:sz w:val="27"/>
          <w:lang w:eastAsia="zh-CN"/>
        </w:rPr>
      </w:pPr>
    </w:p>
    <w:p>
      <w:pPr>
        <w:pStyle w:val="4"/>
        <w:spacing w:before="66"/>
        <w:ind w:left="1559"/>
        <w:rPr>
          <w:rFonts w:hint="eastAsia"/>
          <w:lang w:eastAsia="zh-CN"/>
        </w:rPr>
      </w:pPr>
      <w:r>
        <w:rPr>
          <w:spacing w:val="-1"/>
          <w:lang w:eastAsia="zh-CN"/>
        </w:rPr>
        <w:t>三、执业机构营业执照及执业许可证复印件</w:t>
      </w: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rPr>
          <w:rFonts w:hint="eastAsia"/>
          <w:sz w:val="20"/>
          <w:lang w:eastAsia="zh-CN"/>
        </w:rPr>
      </w:pPr>
    </w:p>
    <w:p>
      <w:pPr>
        <w:pStyle w:val="4"/>
        <w:spacing w:before="1"/>
        <w:rPr>
          <w:rFonts w:hint="eastAsia"/>
          <w:sz w:val="22"/>
          <w:lang w:eastAsia="zh-CN"/>
        </w:rPr>
        <w:sectPr>
          <w:type w:val="continuous"/>
          <w:pgSz w:w="11910" w:h="16840"/>
          <w:pgMar w:top="1580" w:right="160" w:bottom="0" w:left="1460" w:header="720" w:footer="720" w:gutter="0"/>
          <w:cols w:space="720" w:num="1"/>
        </w:sectPr>
      </w:pPr>
    </w:p>
    <w:p>
      <w:pPr>
        <w:pStyle w:val="2"/>
        <w:ind w:left="0"/>
        <w:jc w:val="left"/>
        <w:rPr>
          <w:rFonts w:hint="eastAsia"/>
          <w:spacing w:val="62"/>
          <w:w w:val="95"/>
          <w:lang w:eastAsia="zh-CN"/>
        </w:rPr>
      </w:pPr>
    </w:p>
    <w:p>
      <w:pPr>
        <w:pStyle w:val="2"/>
        <w:ind w:left="0"/>
        <w:jc w:val="left"/>
        <w:rPr>
          <w:rFonts w:hint="eastAsia"/>
          <w:spacing w:val="62"/>
          <w:w w:val="95"/>
          <w:lang w:eastAsia="zh-CN"/>
        </w:rPr>
      </w:pPr>
    </w:p>
    <w:p>
      <w:pPr>
        <w:rPr>
          <w:rFonts w:hint="eastAsia"/>
          <w:lang w:eastAsia="zh-CN"/>
        </w:rPr>
        <w:sectPr>
          <w:footerReference r:id="rId4" w:type="default"/>
          <w:type w:val="continuous"/>
          <w:pgSz w:w="11910" w:h="16840"/>
          <w:pgMar w:top="1580" w:right="160" w:bottom="0" w:left="1460" w:header="0" w:footer="1255" w:gutter="0"/>
          <w:pgNumType w:start="1"/>
          <w:cols w:equalWidth="0" w:num="3">
            <w:col w:w="933" w:space="2764"/>
            <w:col w:w="1785" w:space="723"/>
            <w:col w:w="4085"/>
          </w:cols>
        </w:sectPr>
      </w:pPr>
    </w:p>
    <w:p>
      <w:pPr>
        <w:spacing w:before="156" w:line="440" w:lineRule="exact"/>
        <w:ind w:firstLine="360" w:firstLineChars="100"/>
        <w:rPr>
          <w:rFonts w:hint="eastAsia" w:ascii="DFKai-SB" w:hAnsi="DFKai-SB"/>
          <w:b/>
          <w:sz w:val="36"/>
          <w:szCs w:val="36"/>
          <w:lang w:eastAsia="zh-CN"/>
        </w:rPr>
      </w:pPr>
      <w:r>
        <w:rPr>
          <w:rFonts w:hint="eastAsia" w:ascii="DFKai-SB" w:hAnsi="DFKai-SB" w:eastAsia="DFKai-SB"/>
          <w:b/>
          <w:sz w:val="36"/>
          <w:szCs w:val="36"/>
          <w:lang w:eastAsia="zh-CN"/>
        </w:rPr>
        <w:t>深</w:t>
      </w:r>
      <w:r>
        <w:rPr>
          <w:rFonts w:hint="eastAsia" w:ascii="DFKai-SB" w:hAnsi="DFKai-SB"/>
          <w:b/>
          <w:sz w:val="36"/>
          <w:szCs w:val="36"/>
          <w:lang w:eastAsia="zh-CN"/>
        </w:rPr>
        <w:t xml:space="preserve"> </w:t>
      </w:r>
      <w:r>
        <w:rPr>
          <w:rFonts w:hint="eastAsia" w:ascii="DFKai-SB" w:hAnsi="DFKai-SB" w:eastAsia="DFKai-SB"/>
          <w:b/>
          <w:sz w:val="36"/>
          <w:szCs w:val="36"/>
          <w:lang w:eastAsia="zh-CN"/>
        </w:rPr>
        <w:t>圳</w:t>
      </w:r>
      <w:r>
        <w:rPr>
          <w:rFonts w:hint="eastAsia" w:ascii="DFKai-SB" w:hAnsi="DFKai-SB"/>
          <w:b/>
          <w:sz w:val="36"/>
          <w:szCs w:val="36"/>
          <w:lang w:eastAsia="zh-CN"/>
        </w:rPr>
        <w:t xml:space="preserve"> </w:t>
      </w:r>
      <w:r>
        <w:rPr>
          <w:rFonts w:hint="eastAsia" w:ascii="DFKai-SB" w:hAnsi="DFKai-SB" w:eastAsia="DFKai-SB"/>
          <w:b/>
          <w:sz w:val="36"/>
          <w:szCs w:val="36"/>
          <w:lang w:eastAsia="zh-CN"/>
        </w:rPr>
        <w:t>金</w:t>
      </w:r>
      <w:r>
        <w:rPr>
          <w:rFonts w:hint="eastAsia" w:ascii="DFKai-SB" w:hAnsi="DFKai-SB"/>
          <w:b/>
          <w:sz w:val="36"/>
          <w:szCs w:val="36"/>
          <w:lang w:eastAsia="zh-CN"/>
        </w:rPr>
        <w:t xml:space="preserve"> </w:t>
      </w:r>
      <w:r>
        <w:rPr>
          <w:rFonts w:hint="eastAsia" w:ascii="DFKai-SB" w:hAnsi="DFKai-SB" w:eastAsia="DFKai-SB"/>
          <w:b/>
          <w:sz w:val="36"/>
          <w:szCs w:val="36"/>
          <w:lang w:eastAsia="zh-CN"/>
        </w:rPr>
        <w:t>为</w:t>
      </w:r>
      <w:r>
        <w:rPr>
          <w:rFonts w:hint="eastAsia" w:ascii="DFKai-SB" w:hAnsi="DFKai-SB"/>
          <w:b/>
          <w:sz w:val="36"/>
          <w:szCs w:val="36"/>
          <w:lang w:eastAsia="zh-CN"/>
        </w:rPr>
        <w:t xml:space="preserve"> </w:t>
      </w:r>
      <w:r>
        <w:rPr>
          <w:rFonts w:hint="eastAsia" w:ascii="DFKai-SB" w:hAnsi="DFKai-SB" w:eastAsia="DFKai-SB"/>
          <w:b/>
          <w:sz w:val="36"/>
          <w:szCs w:val="36"/>
          <w:lang w:eastAsia="zh-CN"/>
        </w:rPr>
        <w:t>信</w:t>
      </w:r>
      <w:r>
        <w:rPr>
          <w:rFonts w:hint="eastAsia" w:ascii="DFKai-SB" w:hAnsi="DFKai-SB"/>
          <w:b/>
          <w:sz w:val="36"/>
          <w:szCs w:val="36"/>
          <w:lang w:eastAsia="zh-CN"/>
        </w:rPr>
        <w:t xml:space="preserve"> </w:t>
      </w:r>
      <w:r>
        <w:rPr>
          <w:rFonts w:hint="eastAsia" w:ascii="DFKai-SB" w:hAnsi="DFKai-SB" w:eastAsia="DFKai-SB"/>
          <w:b/>
          <w:sz w:val="36"/>
          <w:szCs w:val="36"/>
          <w:lang w:eastAsia="zh-CN"/>
        </w:rPr>
        <w:t>会</w:t>
      </w:r>
      <w:r>
        <w:rPr>
          <w:rFonts w:hint="eastAsia" w:ascii="DFKai-SB" w:hAnsi="DFKai-SB"/>
          <w:b/>
          <w:sz w:val="36"/>
          <w:szCs w:val="36"/>
          <w:lang w:eastAsia="zh-CN"/>
        </w:rPr>
        <w:t xml:space="preserve"> </w:t>
      </w:r>
      <w:r>
        <w:rPr>
          <w:rFonts w:hint="eastAsia" w:ascii="DFKai-SB" w:hAnsi="DFKai-SB" w:eastAsia="DFKai-SB"/>
          <w:b/>
          <w:sz w:val="36"/>
          <w:szCs w:val="36"/>
          <w:lang w:eastAsia="zh-CN"/>
        </w:rPr>
        <w:t>计</w:t>
      </w:r>
      <w:r>
        <w:rPr>
          <w:rFonts w:hint="eastAsia" w:ascii="DFKai-SB" w:hAnsi="DFKai-SB"/>
          <w:b/>
          <w:sz w:val="36"/>
          <w:szCs w:val="36"/>
          <w:lang w:eastAsia="zh-CN"/>
        </w:rPr>
        <w:t xml:space="preserve"> </w:t>
      </w:r>
      <w:r>
        <w:rPr>
          <w:rFonts w:hint="eastAsia" w:ascii="DFKai-SB" w:hAnsi="DFKai-SB" w:eastAsia="DFKai-SB"/>
          <w:b/>
          <w:sz w:val="36"/>
          <w:szCs w:val="36"/>
          <w:lang w:eastAsia="zh-CN"/>
        </w:rPr>
        <w:t>师</w:t>
      </w:r>
      <w:r>
        <w:rPr>
          <w:rFonts w:hint="eastAsia" w:ascii="DFKai-SB" w:hAnsi="DFKai-SB"/>
          <w:b/>
          <w:sz w:val="36"/>
          <w:szCs w:val="36"/>
          <w:lang w:eastAsia="zh-CN"/>
        </w:rPr>
        <w:t xml:space="preserve"> </w:t>
      </w:r>
      <w:r>
        <w:rPr>
          <w:rFonts w:hint="eastAsia" w:ascii="DFKai-SB" w:hAnsi="DFKai-SB" w:eastAsia="DFKai-SB"/>
          <w:b/>
          <w:sz w:val="36"/>
          <w:szCs w:val="36"/>
          <w:lang w:eastAsia="zh-CN"/>
        </w:rPr>
        <w:t>事</w:t>
      </w:r>
      <w:r>
        <w:rPr>
          <w:rFonts w:hint="eastAsia" w:ascii="DFKai-SB" w:hAnsi="DFKai-SB"/>
          <w:b/>
          <w:sz w:val="36"/>
          <w:szCs w:val="36"/>
          <w:lang w:eastAsia="zh-CN"/>
        </w:rPr>
        <w:t xml:space="preserve"> </w:t>
      </w:r>
      <w:r>
        <w:rPr>
          <w:rFonts w:hint="eastAsia" w:ascii="DFKai-SB" w:hAnsi="DFKai-SB" w:eastAsia="DFKai-SB"/>
          <w:b/>
          <w:sz w:val="36"/>
          <w:szCs w:val="36"/>
          <w:lang w:eastAsia="zh-CN"/>
        </w:rPr>
        <w:t>务</w:t>
      </w:r>
      <w:r>
        <w:rPr>
          <w:rFonts w:hint="eastAsia" w:ascii="DFKai-SB" w:hAnsi="DFKai-SB"/>
          <w:b/>
          <w:sz w:val="36"/>
          <w:szCs w:val="36"/>
          <w:lang w:eastAsia="zh-CN"/>
        </w:rPr>
        <w:t xml:space="preserve"> </w:t>
      </w:r>
      <w:r>
        <w:rPr>
          <w:rFonts w:hint="eastAsia" w:ascii="DFKai-SB" w:hAnsi="DFKai-SB" w:eastAsia="DFKai-SB"/>
          <w:b/>
          <w:sz w:val="36"/>
          <w:szCs w:val="36"/>
          <w:lang w:eastAsia="zh-CN"/>
        </w:rPr>
        <w:t>所</w:t>
      </w:r>
      <w:r>
        <w:rPr>
          <w:rFonts w:hint="eastAsia" w:ascii="DFKai-SB" w:hAnsi="DFKai-SB"/>
          <w:b/>
          <w:sz w:val="36"/>
          <w:szCs w:val="36"/>
          <w:lang w:eastAsia="zh-CN"/>
        </w:rPr>
        <w:t>（</w:t>
      </w:r>
      <w:r>
        <w:rPr>
          <w:rFonts w:hint="eastAsia" w:ascii="DFKai-SB" w:hAnsi="DFKai-SB" w:eastAsia="DFKai-SB"/>
          <w:b/>
          <w:sz w:val="36"/>
          <w:szCs w:val="36"/>
          <w:lang w:eastAsia="zh-CN"/>
        </w:rPr>
        <w:t>普</w:t>
      </w:r>
      <w:r>
        <w:rPr>
          <w:rFonts w:hint="eastAsia" w:ascii="DFKai-SB" w:hAnsi="DFKai-SB"/>
          <w:b/>
          <w:sz w:val="36"/>
          <w:szCs w:val="36"/>
          <w:lang w:eastAsia="zh-CN"/>
        </w:rPr>
        <w:t xml:space="preserve"> </w:t>
      </w:r>
      <w:r>
        <w:rPr>
          <w:rFonts w:hint="eastAsia" w:ascii="DFKai-SB" w:hAnsi="DFKai-SB" w:eastAsia="DFKai-SB"/>
          <w:b/>
          <w:sz w:val="36"/>
          <w:szCs w:val="36"/>
          <w:lang w:eastAsia="zh-CN"/>
        </w:rPr>
        <w:t>通</w:t>
      </w:r>
      <w:r>
        <w:rPr>
          <w:rFonts w:hint="eastAsia" w:ascii="DFKai-SB" w:hAnsi="DFKai-SB"/>
          <w:b/>
          <w:sz w:val="36"/>
          <w:szCs w:val="36"/>
          <w:lang w:eastAsia="zh-CN"/>
        </w:rPr>
        <w:t xml:space="preserve"> </w:t>
      </w:r>
      <w:r>
        <w:rPr>
          <w:rFonts w:hint="eastAsia" w:ascii="DFKai-SB" w:hAnsi="DFKai-SB" w:eastAsia="DFKai-SB"/>
          <w:b/>
          <w:sz w:val="36"/>
          <w:szCs w:val="36"/>
          <w:lang w:eastAsia="zh-CN"/>
        </w:rPr>
        <w:t>合</w:t>
      </w:r>
      <w:r>
        <w:rPr>
          <w:rFonts w:hint="eastAsia" w:ascii="DFKai-SB" w:hAnsi="DFKai-SB"/>
          <w:b/>
          <w:sz w:val="36"/>
          <w:szCs w:val="36"/>
          <w:lang w:eastAsia="zh-CN"/>
        </w:rPr>
        <w:t xml:space="preserve"> </w:t>
      </w:r>
      <w:r>
        <w:rPr>
          <w:rFonts w:hint="eastAsia" w:ascii="DFKai-SB" w:hAnsi="DFKai-SB" w:eastAsia="DFKai-SB"/>
          <w:b/>
          <w:sz w:val="36"/>
          <w:szCs w:val="36"/>
          <w:lang w:eastAsia="zh-CN"/>
        </w:rPr>
        <w:t>伙）</w:t>
      </w:r>
    </w:p>
    <w:p>
      <w:pPr>
        <w:spacing w:before="120" w:beforeLines="50" w:line="276" w:lineRule="auto"/>
        <w:ind w:firstLine="320" w:firstLineChars="100"/>
        <w:rPr>
          <w:rFonts w:hint="eastAsia"/>
          <w:sz w:val="32"/>
          <w:szCs w:val="32"/>
        </w:rPr>
      </w:pPr>
      <w:r>
        <w:rPr>
          <w:sz w:val="32"/>
          <w:szCs w:val="32"/>
        </w:rPr>
        <w:t>Shen Zhen Golden Trust Certified Public Accountants</w:t>
      </w:r>
    </w:p>
    <w:p>
      <w:pPr>
        <w:rPr>
          <w:rFonts w:hint="eastAsia"/>
          <w:sz w:val="18"/>
          <w:szCs w:val="18"/>
          <w:u w:val="dotted"/>
          <w:lang w:eastAsia="zh-CN"/>
        </w:rPr>
      </w:pPr>
      <w:r>
        <w:rPr>
          <w:rFonts w:hint="eastAsia"/>
          <w:sz w:val="18"/>
          <w:szCs w:val="18"/>
          <w:u w:val="thick"/>
          <w:lang w:eastAsia="zh-CN"/>
        </w:rPr>
        <w:t>----------------------------------------------------------------------------------------------------</w:t>
      </w:r>
    </w:p>
    <w:p>
      <w:pPr>
        <w:ind w:firstLine="1100" w:firstLineChars="500"/>
        <w:rPr>
          <w:rFonts w:hint="eastAsia"/>
          <w:sz w:val="18"/>
          <w:szCs w:val="18"/>
          <w:lang w:eastAsia="zh-CN"/>
        </w:rPr>
      </w:pPr>
      <w:r>
        <w:rPr>
          <w:lang w:eastAsia="zh-CN"/>
        </w:rPr>
        <w:t xml:space="preserve">                </w:t>
      </w:r>
      <w:r>
        <w:rPr>
          <w:rFonts w:hint="eastAsia"/>
          <w:lang w:eastAsia="zh-CN"/>
        </w:rPr>
        <w:t xml:space="preserve">       </w:t>
      </w:r>
      <w:r>
        <w:rPr>
          <w:lang w:eastAsia="zh-CN"/>
        </w:rPr>
        <w:t xml:space="preserve"> </w:t>
      </w:r>
      <w:r>
        <w:rPr>
          <w:rFonts w:hint="eastAsia"/>
          <w:lang w:eastAsia="zh-CN"/>
        </w:rPr>
        <w:t xml:space="preserve">          </w:t>
      </w:r>
      <w:r>
        <w:rPr>
          <w:lang w:eastAsia="zh-CN"/>
        </w:rPr>
        <w:t xml:space="preserve">        </w:t>
      </w:r>
      <w:r>
        <w:rPr>
          <w:rFonts w:hint="eastAsia"/>
          <w:lang w:eastAsia="zh-CN"/>
        </w:rPr>
        <w:t xml:space="preserve">      </w:t>
      </w:r>
      <w:r>
        <w:rPr>
          <w:sz w:val="18"/>
          <w:szCs w:val="18"/>
          <w:lang w:eastAsia="zh-CN"/>
        </w:rPr>
        <w:t xml:space="preserve"> </w:t>
      </w:r>
      <w:r>
        <w:rPr>
          <w:rFonts w:hint="eastAsia"/>
          <w:sz w:val="18"/>
          <w:szCs w:val="18"/>
          <w:lang w:eastAsia="zh-CN"/>
        </w:rPr>
        <w:t xml:space="preserve">  深金为信专审字</w:t>
      </w:r>
      <w:r>
        <w:rPr>
          <w:sz w:val="18"/>
          <w:szCs w:val="18"/>
          <w:lang w:eastAsia="zh-CN"/>
        </w:rPr>
        <w:t>[20</w:t>
      </w:r>
      <w:r>
        <w:rPr>
          <w:rFonts w:hint="eastAsia"/>
          <w:sz w:val="18"/>
          <w:szCs w:val="18"/>
          <w:lang w:eastAsia="zh-CN"/>
        </w:rPr>
        <w:t>24</w:t>
      </w:r>
      <w:r>
        <w:rPr>
          <w:sz w:val="18"/>
          <w:szCs w:val="18"/>
          <w:lang w:eastAsia="zh-CN"/>
        </w:rPr>
        <w:t>]</w:t>
      </w:r>
      <w:r>
        <w:rPr>
          <w:rFonts w:hint="eastAsia"/>
          <w:sz w:val="18"/>
          <w:szCs w:val="18"/>
          <w:lang w:eastAsia="zh-CN"/>
        </w:rPr>
        <w:t>第A000号</w:t>
      </w:r>
    </w:p>
    <w:p>
      <w:pPr>
        <w:rPr>
          <w:rFonts w:hint="eastAsia"/>
          <w:lang w:eastAsia="zh-CN"/>
        </w:rPr>
      </w:pPr>
    </w:p>
    <w:p>
      <w:pPr>
        <w:pStyle w:val="3"/>
        <w:spacing w:before="66" w:line="360" w:lineRule="auto"/>
        <w:ind w:left="119"/>
        <w:jc w:val="center"/>
        <w:rPr>
          <w:rFonts w:hint="eastAsia"/>
          <w:w w:val="95"/>
          <w:sz w:val="32"/>
          <w:szCs w:val="32"/>
          <w:lang w:eastAsia="zh-CN"/>
        </w:rPr>
      </w:pPr>
      <w:r>
        <w:rPr>
          <w:rFonts w:hint="eastAsia"/>
          <w:w w:val="95"/>
          <w:sz w:val="32"/>
          <w:szCs w:val="32"/>
          <w:lang w:eastAsia="zh-CN"/>
        </w:rPr>
        <w:t>专 项 审 计 报 告</w:t>
      </w:r>
    </w:p>
    <w:p>
      <w:pPr>
        <w:pStyle w:val="3"/>
        <w:spacing w:before="66" w:line="360" w:lineRule="auto"/>
        <w:ind w:left="119"/>
        <w:rPr>
          <w:rFonts w:hint="eastAsia"/>
          <w:lang w:eastAsia="zh-CN"/>
        </w:rPr>
      </w:pPr>
      <w:r>
        <w:rPr>
          <w:w w:val="95"/>
          <w:lang w:eastAsia="zh-CN"/>
        </w:rPr>
        <w:t>深圳市乡村振兴和协作</w:t>
      </w:r>
      <w:r>
        <w:rPr>
          <w:spacing w:val="-3"/>
          <w:w w:val="95"/>
          <w:lang w:eastAsia="zh-CN"/>
        </w:rPr>
        <w:t>交流局：</w:t>
      </w:r>
    </w:p>
    <w:p>
      <w:pPr>
        <w:pStyle w:val="4"/>
        <w:spacing w:before="1"/>
        <w:ind w:left="44" w:leftChars="20" w:right="907" w:firstLine="476"/>
        <w:rPr>
          <w:rFonts w:hint="eastAsia"/>
          <w:b/>
          <w:sz w:val="21"/>
          <w:lang w:eastAsia="zh-CN"/>
        </w:rPr>
      </w:pPr>
    </w:p>
    <w:p>
      <w:pPr>
        <w:pStyle w:val="4"/>
        <w:spacing w:before="1" w:line="375" w:lineRule="auto"/>
        <w:ind w:left="44" w:leftChars="20" w:right="907" w:firstLine="476"/>
        <w:jc w:val="both"/>
        <w:rPr>
          <w:rFonts w:hint="eastAsia"/>
          <w:lang w:eastAsia="zh-CN"/>
        </w:rPr>
      </w:pPr>
      <w:r>
        <w:rPr>
          <w:spacing w:val="-2"/>
          <w:lang w:eastAsia="zh-CN"/>
        </w:rPr>
        <w:t>我们接受贵单位的委托，对深圳市海吉星国际农产品物流管理有限公司(以下简称“海吉星公司”)申报的</w:t>
      </w:r>
      <w:r>
        <w:rPr>
          <w:rFonts w:hint="eastAsia"/>
          <w:spacing w:val="-2"/>
          <w:lang w:eastAsia="zh-CN"/>
        </w:rPr>
        <w:t>2024年</w:t>
      </w:r>
      <w:r>
        <w:rPr>
          <w:rFonts w:hint="eastAsia"/>
          <w:spacing w:val="2"/>
          <w:w w:val="99"/>
          <w:lang w:eastAsia="zh-CN"/>
        </w:rPr>
        <w:t>广东省</w:t>
      </w:r>
      <w:r>
        <w:rPr>
          <w:spacing w:val="-2"/>
          <w:lang w:eastAsia="zh-CN"/>
        </w:rPr>
        <w:t>“</w:t>
      </w:r>
      <w:r>
        <w:rPr>
          <w:rFonts w:hint="eastAsia"/>
          <w:spacing w:val="-2"/>
          <w:lang w:eastAsia="zh-CN"/>
        </w:rPr>
        <w:t>消费帮扶金秋行动”之“寻味广东</w:t>
      </w:r>
      <w:r>
        <w:rPr>
          <w:spacing w:val="-2"/>
          <w:lang w:eastAsia="zh-CN"/>
        </w:rPr>
        <w:t>”</w:t>
      </w:r>
      <w:r>
        <w:rPr>
          <w:rFonts w:hint="eastAsia"/>
          <w:spacing w:val="-2"/>
          <w:lang w:eastAsia="zh-CN"/>
        </w:rPr>
        <w:t>美食文化展</w:t>
      </w:r>
      <w:r>
        <w:rPr>
          <w:spacing w:val="-2"/>
          <w:lang w:eastAsia="zh-CN"/>
        </w:rPr>
        <w:t>活动等</w:t>
      </w:r>
      <w:r>
        <w:rPr>
          <w:rFonts w:hint="eastAsia"/>
          <w:spacing w:val="-2"/>
          <w:lang w:eastAsia="zh-CN"/>
        </w:rPr>
        <w:t>8</w:t>
      </w:r>
      <w:r>
        <w:rPr>
          <w:spacing w:val="-2"/>
          <w:lang w:eastAsia="zh-CN"/>
        </w:rPr>
        <w:t>个项目的资金使用情况进行专项审计。提供与本次审计有关的资料并保证所提供资料的真实、完整是海吉星公司的责任，我们的责任是在实施必要审计程序</w:t>
      </w:r>
      <w:r>
        <w:rPr>
          <w:lang w:eastAsia="zh-CN"/>
        </w:rPr>
        <w:t>的基础上对海吉星公司申报项目的资金使用情况发表审计意见，并出具专项审计报告。</w:t>
      </w:r>
    </w:p>
    <w:p>
      <w:pPr>
        <w:pStyle w:val="4"/>
        <w:spacing w:before="1" w:line="375" w:lineRule="auto"/>
        <w:ind w:left="44" w:leftChars="20" w:right="907" w:firstLine="476"/>
        <w:jc w:val="both"/>
        <w:rPr>
          <w:rFonts w:hint="eastAsia"/>
          <w:lang w:eastAsia="zh-CN"/>
        </w:rPr>
      </w:pPr>
      <w:r>
        <w:rPr>
          <w:lang w:eastAsia="zh-CN"/>
        </w:rPr>
        <w:t>我们的审计是依据《中国注册会计师审计准则》等相关规定和《深圳海吉星消费</w:t>
      </w:r>
      <w:r>
        <w:rPr>
          <w:spacing w:val="-2"/>
          <w:lang w:eastAsia="zh-CN"/>
        </w:rPr>
        <w:t>帮扶中心展销</w:t>
      </w:r>
      <w:r>
        <w:rPr>
          <w:rFonts w:hint="eastAsia"/>
          <w:spacing w:val="-2"/>
          <w:lang w:eastAsia="zh-CN"/>
        </w:rPr>
        <w:t>展览资金使用操</w:t>
      </w:r>
      <w:r>
        <w:rPr>
          <w:spacing w:val="-2"/>
          <w:lang w:eastAsia="zh-CN"/>
        </w:rPr>
        <w:t>作规程(修订稿)》的要求进行的</w:t>
      </w:r>
      <w:r>
        <w:rPr>
          <w:rFonts w:hint="eastAsia"/>
          <w:spacing w:val="-2"/>
          <w:lang w:eastAsia="zh-CN"/>
        </w:rPr>
        <w:t>，</w:t>
      </w:r>
      <w:r>
        <w:rPr>
          <w:spacing w:val="-2"/>
          <w:lang w:eastAsia="zh-CN"/>
        </w:rPr>
        <w:t>在审计过程中我们结</w:t>
      </w:r>
      <w:r>
        <w:rPr>
          <w:lang w:eastAsia="zh-CN"/>
        </w:rPr>
        <w:t>合项目的实际情况实施了包括审核、检查、分析、计算等我们认为必要的审计程序，</w:t>
      </w:r>
      <w:r>
        <w:rPr>
          <w:spacing w:val="-2"/>
          <w:lang w:eastAsia="zh-CN"/>
        </w:rPr>
        <w:t>我们相信我们获取的审计证据是充分</w:t>
      </w:r>
      <w:r>
        <w:rPr>
          <w:rFonts w:hint="eastAsia"/>
          <w:spacing w:val="-2"/>
          <w:lang w:eastAsia="zh-CN"/>
        </w:rPr>
        <w:t>的</w:t>
      </w:r>
      <w:r>
        <w:rPr>
          <w:spacing w:val="-2"/>
          <w:lang w:eastAsia="zh-CN"/>
        </w:rPr>
        <w:t>、适当的，为发表审计意见提供了基础。</w:t>
      </w:r>
    </w:p>
    <w:p>
      <w:pPr>
        <w:pStyle w:val="4"/>
        <w:spacing w:before="1" w:line="375" w:lineRule="auto"/>
        <w:ind w:left="44" w:leftChars="20" w:right="907" w:firstLine="476"/>
        <w:jc w:val="both"/>
        <w:rPr>
          <w:rFonts w:hint="eastAsia"/>
          <w:lang w:eastAsia="zh-CN"/>
        </w:rPr>
      </w:pPr>
      <w:r>
        <w:rPr>
          <w:spacing w:val="-1"/>
          <w:lang w:eastAsia="zh-CN"/>
        </w:rPr>
        <w:t>现将审计情况报告如下:</w:t>
      </w:r>
    </w:p>
    <w:p>
      <w:pPr>
        <w:pStyle w:val="4"/>
        <w:spacing w:before="12"/>
        <w:jc w:val="both"/>
        <w:rPr>
          <w:rFonts w:hint="eastAsia"/>
          <w:sz w:val="17"/>
          <w:lang w:eastAsia="zh-CN"/>
        </w:rPr>
      </w:pPr>
    </w:p>
    <w:p>
      <w:pPr>
        <w:pStyle w:val="3"/>
        <w:jc w:val="both"/>
        <w:rPr>
          <w:rFonts w:hint="eastAsia"/>
          <w:lang w:eastAsia="zh-CN"/>
        </w:rPr>
      </w:pPr>
      <w:r>
        <w:rPr>
          <w:w w:val="95"/>
          <w:lang w:eastAsia="zh-CN"/>
        </w:rPr>
        <w:t>一、公司基本情</w:t>
      </w:r>
      <w:r>
        <w:rPr>
          <w:spacing w:val="-10"/>
          <w:w w:val="95"/>
          <w:lang w:eastAsia="zh-CN"/>
        </w:rPr>
        <w:t>况</w:t>
      </w:r>
    </w:p>
    <w:p>
      <w:pPr>
        <w:pStyle w:val="4"/>
        <w:spacing w:before="7"/>
        <w:rPr>
          <w:rFonts w:hint="eastAsia"/>
          <w:b/>
          <w:sz w:val="21"/>
          <w:lang w:eastAsia="zh-CN"/>
        </w:rPr>
      </w:pPr>
    </w:p>
    <w:p>
      <w:pPr>
        <w:pStyle w:val="4"/>
        <w:spacing w:before="12" w:beforeLines="5" w:line="375" w:lineRule="auto"/>
        <w:ind w:left="119" w:right="907" w:firstLine="476"/>
        <w:jc w:val="both"/>
        <w:rPr>
          <w:rFonts w:hint="eastAsia"/>
          <w:lang w:eastAsia="zh-CN"/>
        </w:rPr>
      </w:pPr>
      <w:r>
        <w:rPr>
          <w:spacing w:val="2"/>
          <w:lang w:eastAsia="zh-CN"/>
        </w:rPr>
        <w:t>海吉星公司系经深圳市市场监督管理局批准，于</w:t>
      </w:r>
      <w:r>
        <w:rPr>
          <w:lang w:eastAsia="zh-CN"/>
        </w:rPr>
        <w:t>200</w:t>
      </w:r>
      <w:r>
        <w:rPr>
          <w:spacing w:val="4"/>
          <w:lang w:eastAsia="zh-CN"/>
        </w:rPr>
        <w:t>7年</w:t>
      </w:r>
      <w:r>
        <w:rPr>
          <w:lang w:eastAsia="zh-CN"/>
        </w:rPr>
        <w:t>0</w:t>
      </w:r>
      <w:r>
        <w:rPr>
          <w:spacing w:val="4"/>
          <w:lang w:eastAsia="zh-CN"/>
        </w:rPr>
        <w:t>9月</w:t>
      </w:r>
      <w:r>
        <w:rPr>
          <w:lang w:eastAsia="zh-CN"/>
        </w:rPr>
        <w:t>0</w:t>
      </w:r>
      <w:r>
        <w:rPr>
          <w:spacing w:val="2"/>
          <w:lang w:eastAsia="zh-CN"/>
        </w:rPr>
        <w:t>7日成立，持有统一</w:t>
      </w:r>
      <w:r>
        <w:rPr>
          <w:spacing w:val="4"/>
          <w:lang w:eastAsia="zh-CN"/>
        </w:rPr>
        <w:t>社会信用代码为</w:t>
      </w:r>
      <w:r>
        <w:rPr>
          <w:lang w:eastAsia="zh-CN"/>
        </w:rPr>
        <w:t>91440</w:t>
      </w:r>
      <w:r>
        <w:rPr>
          <w:spacing w:val="2"/>
          <w:lang w:eastAsia="zh-CN"/>
        </w:rPr>
        <w:t>3</w:t>
      </w:r>
      <w:r>
        <w:rPr>
          <w:lang w:eastAsia="zh-CN"/>
        </w:rPr>
        <w:t>00667069938</w:t>
      </w:r>
      <w:r>
        <w:rPr>
          <w:spacing w:val="5"/>
          <w:lang w:eastAsia="zh-CN"/>
        </w:rPr>
        <w:t>Q</w:t>
      </w:r>
      <w:r>
        <w:rPr>
          <w:spacing w:val="4"/>
          <w:lang w:eastAsia="zh-CN"/>
        </w:rPr>
        <w:t>的营业执照</w:t>
      </w:r>
      <w:r>
        <w:rPr>
          <w:rFonts w:hint="eastAsia"/>
          <w:spacing w:val="4"/>
          <w:lang w:eastAsia="zh-CN"/>
        </w:rPr>
        <w:t>。</w:t>
      </w:r>
      <w:r>
        <w:rPr>
          <w:spacing w:val="4"/>
          <w:lang w:eastAsia="zh-CN"/>
        </w:rPr>
        <w:t>认缴注册资本人民币</w:t>
      </w:r>
      <w:r>
        <w:rPr>
          <w:lang w:eastAsia="zh-CN"/>
        </w:rPr>
        <w:t>1</w:t>
      </w:r>
      <w:r>
        <w:rPr>
          <w:rFonts w:hint="eastAsia"/>
          <w:lang w:eastAsia="zh-CN"/>
        </w:rPr>
        <w:t>,</w:t>
      </w:r>
      <w:r>
        <w:rPr>
          <w:lang w:eastAsia="zh-CN"/>
        </w:rPr>
        <w:t>000.0</w:t>
      </w:r>
      <w:r>
        <w:rPr>
          <w:spacing w:val="4"/>
          <w:lang w:eastAsia="zh-CN"/>
        </w:rPr>
        <w:t>0</w:t>
      </w:r>
      <w:r>
        <w:rPr>
          <w:spacing w:val="2"/>
          <w:lang w:eastAsia="zh-CN"/>
        </w:rPr>
        <w:t>万元</w:t>
      </w:r>
      <w:r>
        <w:rPr>
          <w:rFonts w:hint="eastAsia"/>
          <w:spacing w:val="2"/>
          <w:lang w:eastAsia="zh-CN"/>
        </w:rPr>
        <w:t>。</w:t>
      </w:r>
      <w:r>
        <w:rPr>
          <w:lang w:eastAsia="zh-CN"/>
        </w:rPr>
        <w:t>法定代表</w:t>
      </w:r>
      <w:r>
        <w:rPr>
          <w:spacing w:val="2"/>
          <w:lang w:eastAsia="zh-CN"/>
        </w:rPr>
        <w:t>人:</w:t>
      </w:r>
      <w:r>
        <w:rPr>
          <w:rFonts w:hint="eastAsia"/>
          <w:spacing w:val="2"/>
          <w:lang w:eastAsia="zh-CN"/>
        </w:rPr>
        <w:t xml:space="preserve"> 陈炳强。</w:t>
      </w:r>
      <w:r>
        <w:rPr>
          <w:lang w:eastAsia="zh-CN"/>
        </w:rPr>
        <w:t>注册地址:深圳市龙岗区平湖街道白坭坑社区丹农路1号</w:t>
      </w:r>
      <w:r>
        <w:rPr>
          <w:rFonts w:hint="eastAsia"/>
          <w:lang w:eastAsia="zh-CN"/>
        </w:rPr>
        <w:t>。</w:t>
      </w:r>
      <w:r>
        <w:rPr>
          <w:lang w:eastAsia="zh-CN"/>
        </w:rPr>
        <w:t>经营范围：</w:t>
      </w:r>
      <w:r>
        <w:rPr>
          <w:rFonts w:hint="eastAsia"/>
          <w:lang w:eastAsia="zh-CN"/>
        </w:rPr>
        <w:t>一般经营范围“</w:t>
      </w:r>
      <w:r>
        <w:rPr>
          <w:lang w:eastAsia="zh-CN"/>
        </w:rPr>
        <w:t>深圳海吉星国际农产品物流园的开办与管理</w:t>
      </w:r>
      <w:r>
        <w:rPr>
          <w:spacing w:val="2"/>
          <w:lang w:eastAsia="zh-CN"/>
        </w:rPr>
        <w:t>（</w:t>
      </w:r>
      <w:r>
        <w:rPr>
          <w:lang w:eastAsia="zh-CN"/>
        </w:rPr>
        <w:t>分支机构营业执照</w:t>
      </w:r>
      <w:r>
        <w:rPr>
          <w:spacing w:val="10"/>
          <w:lang w:eastAsia="zh-CN"/>
        </w:rPr>
        <w:t>另行申办</w:t>
      </w:r>
      <w:r>
        <w:rPr>
          <w:spacing w:val="9"/>
          <w:lang w:eastAsia="zh-CN"/>
        </w:rPr>
        <w:t>）；农产品的加工</w:t>
      </w:r>
      <w:r>
        <w:rPr>
          <w:spacing w:val="11"/>
          <w:lang w:eastAsia="zh-CN"/>
        </w:rPr>
        <w:t>（</w:t>
      </w:r>
      <w:r>
        <w:rPr>
          <w:spacing w:val="9"/>
          <w:lang w:eastAsia="zh-CN"/>
        </w:rPr>
        <w:t>分支机构营业执照另行申办</w:t>
      </w:r>
      <w:r>
        <w:rPr>
          <w:spacing w:val="11"/>
          <w:lang w:eastAsia="zh-CN"/>
        </w:rPr>
        <w:t>）</w:t>
      </w:r>
      <w:r>
        <w:rPr>
          <w:spacing w:val="8"/>
          <w:lang w:eastAsia="zh-CN"/>
        </w:rPr>
        <w:t>；农产品的仓储与物流</w:t>
      </w:r>
      <w:r>
        <w:rPr>
          <w:spacing w:val="-2"/>
          <w:lang w:eastAsia="zh-CN"/>
        </w:rPr>
        <w:t>（由分支机构经营，营业执照另行申办）；农产品进出口业务（法律、行政法规、国</w:t>
      </w:r>
      <w:r>
        <w:rPr>
          <w:lang w:eastAsia="zh-CN"/>
        </w:rPr>
        <w:t>务院决定禁止的项目除外，限制的项目须取得许可后方可经营）</w:t>
      </w:r>
      <w:r>
        <w:rPr>
          <w:spacing w:val="-2"/>
          <w:lang w:eastAsia="zh-CN"/>
        </w:rPr>
        <w:t>；物业租赁；信息咨询（不含人才中介服务及其他国家禁止、限制项目）；国内贸易（法律、行政法规、</w:t>
      </w:r>
      <w:r>
        <w:rPr>
          <w:lang w:eastAsia="zh-CN"/>
        </w:rPr>
        <w:t>国务院决定规定在登记前须经批准的项目除外</w:t>
      </w:r>
      <w:r>
        <w:rPr>
          <w:spacing w:val="9"/>
          <w:lang w:eastAsia="zh-CN"/>
        </w:rPr>
        <w:t>）</w:t>
      </w:r>
      <w:r>
        <w:rPr>
          <w:spacing w:val="3"/>
          <w:lang w:eastAsia="zh-CN"/>
        </w:rPr>
        <w:t>；投资兴办实业</w:t>
      </w:r>
      <w:r>
        <w:rPr>
          <w:spacing w:val="9"/>
          <w:lang w:eastAsia="zh-CN"/>
        </w:rPr>
        <w:t>（</w:t>
      </w:r>
      <w:r>
        <w:rPr>
          <w:spacing w:val="2"/>
          <w:lang w:eastAsia="zh-CN"/>
        </w:rPr>
        <w:t>具体项目另行申</w:t>
      </w:r>
      <w:r>
        <w:rPr>
          <w:spacing w:val="-2"/>
          <w:lang w:eastAsia="zh-CN"/>
        </w:rPr>
        <w:t>报）；会议及展览服务；供应链管理及配套服务；经营电子商务</w:t>
      </w:r>
      <w:r>
        <w:rPr>
          <w:rFonts w:hint="eastAsia"/>
          <w:spacing w:val="-2"/>
          <w:lang w:eastAsia="zh-CN"/>
        </w:rPr>
        <w:t>”。</w:t>
      </w:r>
      <w:r>
        <w:rPr>
          <w:spacing w:val="-2"/>
          <w:lang w:eastAsia="zh-CN"/>
        </w:rPr>
        <w:t>许可经营项目</w:t>
      </w:r>
      <w:r>
        <w:rPr>
          <w:rFonts w:hint="eastAsia"/>
          <w:spacing w:val="-2"/>
          <w:lang w:eastAsia="zh-CN"/>
        </w:rPr>
        <w:t>“</w:t>
      </w:r>
      <w:r>
        <w:rPr>
          <w:spacing w:val="-2"/>
          <w:lang w:eastAsia="zh-CN"/>
        </w:rPr>
        <w:t>第二类增值电信业务中的在线数据处理与交易处理业务（依法须经批准的项目，经相关部门批准后方可开展经营活动）；批发兼零售新鲜水果、新鲜蔬菜、肉类、禽肉、蛋及水产品、干货、冻品、粮油制品、休闲食品、保健食品、奶制品、茶叶、饮料、</w:t>
      </w:r>
      <w:r>
        <w:rPr>
          <w:lang w:eastAsia="zh-CN"/>
        </w:rPr>
        <w:t>调味剂、酒类产品、初级农产品、预包装食品（含冷冻冷藏食品）</w:t>
      </w:r>
      <w:r>
        <w:rPr>
          <w:spacing w:val="-1"/>
          <w:lang w:eastAsia="zh-CN"/>
        </w:rPr>
        <w:t>、花卉、工艺礼品</w:t>
      </w:r>
      <w:r>
        <w:rPr>
          <w:spacing w:val="-2"/>
          <w:lang w:eastAsia="zh-CN"/>
        </w:rPr>
        <w:t>（象牙及其制品除外）、日用百货、服装鞋帽、针纺织品、化妆品及卫生用品、陶瓷制品、橡塑制品</w:t>
      </w:r>
      <w:r>
        <w:rPr>
          <w:rFonts w:hint="eastAsia"/>
          <w:spacing w:val="-2"/>
          <w:lang w:eastAsia="zh-CN"/>
        </w:rPr>
        <w:t>”</w:t>
      </w:r>
      <w:r>
        <w:rPr>
          <w:spacing w:val="-2"/>
          <w:lang w:eastAsia="zh-CN"/>
        </w:rPr>
        <w:t>。</w:t>
      </w:r>
    </w:p>
    <w:p>
      <w:pPr>
        <w:pStyle w:val="3"/>
        <w:spacing w:before="59"/>
        <w:rPr>
          <w:rFonts w:hint="eastAsia"/>
          <w:lang w:eastAsia="zh-CN"/>
        </w:rPr>
      </w:pPr>
      <w:r>
        <w:rPr>
          <w:w w:val="95"/>
          <w:lang w:eastAsia="zh-CN"/>
        </w:rPr>
        <w:t>二、消费帮扶中心基本</w:t>
      </w:r>
      <w:r>
        <w:rPr>
          <w:spacing w:val="-5"/>
          <w:w w:val="95"/>
          <w:lang w:eastAsia="zh-CN"/>
        </w:rPr>
        <w:t>情况</w:t>
      </w:r>
    </w:p>
    <w:p>
      <w:pPr>
        <w:pStyle w:val="4"/>
        <w:spacing w:before="6"/>
        <w:rPr>
          <w:rFonts w:hint="eastAsia"/>
          <w:b/>
          <w:sz w:val="21"/>
          <w:lang w:eastAsia="zh-CN"/>
        </w:rPr>
      </w:pPr>
    </w:p>
    <w:p>
      <w:pPr>
        <w:pStyle w:val="4"/>
        <w:spacing w:before="1" w:line="375" w:lineRule="auto"/>
        <w:ind w:left="44" w:leftChars="20" w:right="907" w:firstLine="476"/>
        <w:jc w:val="both"/>
        <w:rPr>
          <w:rFonts w:hint="eastAsia"/>
          <w:lang w:eastAsia="zh-CN"/>
        </w:rPr>
      </w:pPr>
      <w:r>
        <w:rPr>
          <w:spacing w:val="-2"/>
          <w:lang w:eastAsia="zh-CN"/>
        </w:rPr>
        <w:t>深圳海吉星消费帮扶中心位于深圳海吉星国际农产品物流园5栋03层，由深圳市农产品集团股份有限公司负责建设，深圳市海吉星国际农产品物流管理有限公司负责运营，属于深圳市重点打造面向全国的市消费帮扶中心，规划建设总面积15,000.00平方米，其中一期10,000.00平方米于2019年12月开始运营。</w:t>
      </w:r>
    </w:p>
    <w:p>
      <w:pPr>
        <w:pStyle w:val="4"/>
        <w:spacing w:before="1" w:line="375" w:lineRule="auto"/>
        <w:ind w:left="44" w:leftChars="20" w:right="907" w:firstLine="476"/>
        <w:jc w:val="both"/>
        <w:rPr>
          <w:rFonts w:hint="eastAsia"/>
          <w:lang w:eastAsia="zh-CN"/>
        </w:rPr>
      </w:pPr>
      <w:r>
        <w:rPr>
          <w:spacing w:val="7"/>
          <w:lang w:eastAsia="zh-CN"/>
        </w:rPr>
        <w:t>作为深圳首个面向全国的帮扶项目，消费帮扶中心通过展示展销</w:t>
      </w:r>
      <w:r>
        <w:rPr>
          <w:rFonts w:hint="eastAsia"/>
          <w:spacing w:val="7"/>
          <w:lang w:eastAsia="zh-CN"/>
        </w:rPr>
        <w:t>、</w:t>
      </w:r>
      <w:r>
        <w:rPr>
          <w:spacing w:val="7"/>
          <w:lang w:eastAsia="zh-CN"/>
        </w:rPr>
        <w:t>交易撮</w:t>
      </w:r>
      <w:r>
        <w:rPr>
          <w:spacing w:val="-2"/>
          <w:lang w:eastAsia="zh-CN"/>
        </w:rPr>
        <w:t>合</w:t>
      </w:r>
      <w:r>
        <w:rPr>
          <w:rFonts w:hint="eastAsia"/>
          <w:spacing w:val="-2"/>
          <w:lang w:eastAsia="zh-CN"/>
        </w:rPr>
        <w:t>、</w:t>
      </w:r>
      <w:r>
        <w:rPr>
          <w:spacing w:val="-2"/>
          <w:lang w:eastAsia="zh-CN"/>
        </w:rPr>
        <w:t xml:space="preserve"> 产品运营助力帮扶产品走出产地、走进深圳、走向全国，提高</w:t>
      </w:r>
      <w:r>
        <w:rPr>
          <w:rFonts w:hint="eastAsia"/>
          <w:spacing w:val="-2"/>
          <w:lang w:eastAsia="zh-CN"/>
        </w:rPr>
        <w:t>对口地区</w:t>
      </w:r>
      <w:r>
        <w:rPr>
          <w:spacing w:val="-2"/>
          <w:lang w:eastAsia="zh-CN"/>
        </w:rPr>
        <w:t>的自主经济造血功能，同时丰富深圳市民乃至粤港澳大湾区“菜篮子”。</w:t>
      </w:r>
    </w:p>
    <w:p>
      <w:pPr>
        <w:pStyle w:val="3"/>
        <w:spacing w:before="1" w:line="375" w:lineRule="auto"/>
        <w:ind w:left="44" w:leftChars="20" w:right="907" w:firstLine="476"/>
        <w:rPr>
          <w:rFonts w:hint="eastAsia"/>
          <w:spacing w:val="-10"/>
          <w:w w:val="95"/>
          <w:lang w:eastAsia="zh-CN"/>
        </w:rPr>
      </w:pPr>
      <w:r>
        <w:rPr>
          <w:w w:val="95"/>
          <w:lang w:eastAsia="zh-CN"/>
        </w:rPr>
        <w:t>三、项目基本情</w:t>
      </w:r>
      <w:r>
        <w:rPr>
          <w:spacing w:val="-10"/>
          <w:w w:val="95"/>
          <w:lang w:eastAsia="zh-CN"/>
        </w:rPr>
        <w:t>况</w:t>
      </w:r>
    </w:p>
    <w:p>
      <w:pPr>
        <w:pStyle w:val="3"/>
        <w:spacing w:before="1"/>
        <w:ind w:left="44" w:leftChars="20" w:right="907" w:firstLine="476"/>
        <w:rPr>
          <w:rFonts w:hint="eastAsia"/>
          <w:lang w:eastAsia="zh-CN"/>
        </w:rPr>
      </w:pPr>
    </w:p>
    <w:p>
      <w:pPr>
        <w:pStyle w:val="4"/>
        <w:spacing w:before="1" w:line="375" w:lineRule="auto"/>
        <w:ind w:left="44" w:leftChars="20" w:right="907" w:firstLine="476"/>
        <w:rPr>
          <w:rFonts w:hint="eastAsia"/>
          <w:lang w:eastAsia="zh-CN"/>
        </w:rPr>
      </w:pPr>
      <w:r>
        <w:rPr>
          <w:spacing w:val="-2"/>
          <w:lang w:eastAsia="zh-CN"/>
        </w:rPr>
        <w:t>本次审计范围涉及深圳海吉星消费帮扶中心承办实施的</w:t>
      </w:r>
      <w:r>
        <w:rPr>
          <w:rFonts w:hint="eastAsia"/>
          <w:spacing w:val="-2"/>
          <w:lang w:eastAsia="zh-CN"/>
        </w:rPr>
        <w:t>8</w:t>
      </w:r>
      <w:r>
        <w:rPr>
          <w:spacing w:val="-2"/>
          <w:lang w:eastAsia="zh-CN"/>
        </w:rPr>
        <w:t>个活动项目，各项目基本情况如下：</w:t>
      </w:r>
    </w:p>
    <w:p>
      <w:pPr>
        <w:pStyle w:val="4"/>
        <w:spacing w:before="1" w:line="375" w:lineRule="auto"/>
        <w:ind w:left="44" w:leftChars="20" w:right="907" w:firstLine="476"/>
        <w:rPr>
          <w:rFonts w:hint="eastAsia"/>
          <w:lang w:eastAsia="zh-CN"/>
        </w:rPr>
      </w:pPr>
      <w:r>
        <w:rPr>
          <w:lang w:eastAsia="zh-CN"/>
        </w:rPr>
        <w:t>（一）</w:t>
      </w:r>
      <w:r>
        <w:rPr>
          <w:rFonts w:hint="eastAsia"/>
          <w:lang w:eastAsia="zh-CN"/>
        </w:rPr>
        <w:t>2024年广东省“消费帮扶金秋行动”之“寻味广东”美食文化展活动</w:t>
      </w:r>
    </w:p>
    <w:p>
      <w:pPr>
        <w:pStyle w:val="4"/>
        <w:spacing w:before="1"/>
        <w:ind w:left="44" w:leftChars="20" w:right="907" w:firstLine="476"/>
        <w:jc w:val="both"/>
        <w:rPr>
          <w:rFonts w:hint="eastAsia"/>
          <w:sz w:val="22"/>
          <w:lang w:eastAsia="zh-CN"/>
        </w:rPr>
      </w:pPr>
    </w:p>
    <w:p>
      <w:pPr>
        <w:pStyle w:val="4"/>
        <w:spacing w:before="1" w:line="375" w:lineRule="auto"/>
        <w:ind w:left="44" w:leftChars="20" w:right="907" w:firstLine="476"/>
        <w:jc w:val="both"/>
        <w:rPr>
          <w:rFonts w:hint="eastAsia"/>
          <w:spacing w:val="-2"/>
          <w:lang w:eastAsia="zh-CN"/>
        </w:rPr>
      </w:pPr>
      <w:r>
        <w:rPr>
          <w:rFonts w:hint="eastAsia"/>
          <w:spacing w:val="7"/>
          <w:lang w:eastAsia="zh-CN"/>
        </w:rPr>
        <w:t>深圳海吉星消费帮扶中心于2024年9月29日至10月2日在深圳市福田区节日大道卓悦中心中央大街开展2024年广东省“消费帮扶金秋行动”之深圳市“寻味广东”美食文化展活动。活动旨在进一步助力“百千万工程”提质增效，推动深圳以及广东地区消费帮扶领域向更深层次、更高质量迈进，迈向互利共赢、合作发展新局面。同时持续引导深圳全社会参与消费帮扶热潮，便利深圳市民终端“家门口”消费，勠力营造“人人皆愿为、人人皆可为、人人皆能为”的消费帮扶浓厚氛围</w:t>
      </w:r>
      <w:r>
        <w:rPr>
          <w:spacing w:val="-2"/>
          <w:lang w:eastAsia="zh-CN"/>
        </w:rPr>
        <w:t>。</w:t>
      </w:r>
    </w:p>
    <w:p>
      <w:pPr>
        <w:pStyle w:val="4"/>
        <w:spacing w:before="1" w:line="375" w:lineRule="auto"/>
        <w:ind w:left="44" w:leftChars="20" w:right="907" w:firstLine="476"/>
        <w:jc w:val="both"/>
        <w:rPr>
          <w:rFonts w:hint="eastAsia"/>
          <w:spacing w:val="-2"/>
          <w:lang w:eastAsia="zh-CN"/>
        </w:rPr>
      </w:pPr>
      <w:r>
        <w:rPr>
          <w:rFonts w:hint="eastAsia"/>
          <w:spacing w:val="-2"/>
          <w:lang w:eastAsia="zh-CN"/>
        </w:rPr>
        <w:t>活动现场共设置了70个展位，包括美食文化街、深圳消费帮扶百强好产品展区、产品营销文创设计成果展区、精品旅游路线展区，集中展销深圳对口地区优势农产品和文旅服务。此次展销活动带动线上线下销售成交额约6,922.16万元，签订农副产品采购协议金额1.22亿元，有效拉动节日消费。</w:t>
      </w:r>
    </w:p>
    <w:p>
      <w:pPr>
        <w:pStyle w:val="4"/>
        <w:spacing w:before="1" w:line="375" w:lineRule="auto"/>
        <w:ind w:left="44" w:leftChars="20" w:right="907" w:firstLine="476"/>
        <w:rPr>
          <w:rFonts w:hint="eastAsia"/>
          <w:spacing w:val="-2"/>
          <w:lang w:eastAsia="zh-CN"/>
        </w:rPr>
      </w:pPr>
      <w:r>
        <w:rPr>
          <w:spacing w:val="-2"/>
          <w:lang w:eastAsia="zh-CN"/>
        </w:rPr>
        <w:t>项目实际支出</w:t>
      </w:r>
      <w:r>
        <w:rPr>
          <w:rFonts w:hint="eastAsia"/>
          <w:spacing w:val="-2"/>
          <w:lang w:eastAsia="zh-CN"/>
        </w:rPr>
        <w:t>723,764.00</w:t>
      </w:r>
      <w:r>
        <w:rPr>
          <w:spacing w:val="-2"/>
          <w:lang w:eastAsia="zh-CN"/>
        </w:rPr>
        <w:t>元。</w:t>
      </w:r>
    </w:p>
    <w:p>
      <w:pPr>
        <w:pStyle w:val="4"/>
        <w:spacing w:before="1" w:line="375" w:lineRule="auto"/>
        <w:ind w:left="44" w:leftChars="20" w:right="907" w:firstLine="476"/>
        <w:jc w:val="both"/>
        <w:rPr>
          <w:rFonts w:hint="eastAsia"/>
          <w:lang w:eastAsia="zh-CN"/>
        </w:rPr>
      </w:pPr>
      <w:r>
        <w:rPr>
          <w:lang w:eastAsia="zh-CN"/>
        </w:rPr>
        <w:t>（二）</w:t>
      </w:r>
      <w:r>
        <w:rPr>
          <w:rFonts w:hint="eastAsia"/>
          <w:lang w:eastAsia="zh-CN"/>
        </w:rPr>
        <w:t>深圳消费帮扶“百强好产品”评选推介活动</w:t>
      </w:r>
    </w:p>
    <w:p>
      <w:pPr>
        <w:pStyle w:val="4"/>
        <w:spacing w:before="1"/>
        <w:ind w:left="44" w:leftChars="20" w:right="907" w:firstLine="476"/>
        <w:jc w:val="both"/>
        <w:rPr>
          <w:rFonts w:hint="eastAsia"/>
          <w:sz w:val="22"/>
          <w:lang w:eastAsia="zh-CN"/>
        </w:rPr>
      </w:pPr>
    </w:p>
    <w:p>
      <w:pPr>
        <w:pStyle w:val="4"/>
        <w:spacing w:before="1" w:line="375" w:lineRule="auto"/>
        <w:ind w:left="44" w:leftChars="20" w:right="907" w:firstLine="476"/>
        <w:jc w:val="both"/>
        <w:rPr>
          <w:rFonts w:hint="eastAsia"/>
          <w:lang w:eastAsia="zh-CN"/>
        </w:rPr>
      </w:pPr>
      <w:r>
        <w:rPr>
          <w:rFonts w:hint="eastAsia"/>
          <w:spacing w:val="7"/>
          <w:lang w:eastAsia="zh-CN"/>
        </w:rPr>
        <w:t>深圳海吉星消费帮扶中心</w:t>
      </w:r>
      <w:r>
        <w:rPr>
          <w:spacing w:val="7"/>
          <w:lang w:eastAsia="zh-CN"/>
        </w:rPr>
        <w:t>联动</w:t>
      </w:r>
      <w:r>
        <w:rPr>
          <w:rFonts w:hint="eastAsia"/>
          <w:spacing w:val="7"/>
          <w:lang w:eastAsia="zh-CN"/>
        </w:rPr>
        <w:t>深圳市标准技术研究院、</w:t>
      </w:r>
      <w:r>
        <w:rPr>
          <w:spacing w:val="7"/>
          <w:lang w:eastAsia="zh-CN"/>
        </w:rPr>
        <w:t>各区消费帮扶中心、各对口帮扶地及广大企事业单位、市民共同再次打造一批深圳消费帮扶爆款产品，借助主流媒体、视频平台及相关电商平台进行广泛宣传推广，并结合相关线下推介活动等，提高深圳消费帮扶产品的曝光度与知名度</w:t>
      </w:r>
      <w:r>
        <w:rPr>
          <w:lang w:eastAsia="zh-CN"/>
        </w:rPr>
        <w:t>。</w:t>
      </w:r>
    </w:p>
    <w:p>
      <w:pPr>
        <w:pStyle w:val="4"/>
        <w:spacing w:before="1" w:line="375" w:lineRule="auto"/>
        <w:ind w:left="44" w:leftChars="20" w:right="907" w:firstLine="476"/>
        <w:jc w:val="both"/>
        <w:rPr>
          <w:rFonts w:hint="eastAsia"/>
          <w:spacing w:val="14"/>
          <w:lang w:eastAsia="zh-CN"/>
        </w:rPr>
      </w:pPr>
      <w:r>
        <w:rPr>
          <w:rFonts w:hint="eastAsia"/>
          <w:lang w:eastAsia="zh-CN"/>
        </w:rPr>
        <w:t>评选推介活动创新采用技术评分+网络投票+专家评分方式，从产品质量、市场竞争力、综合评判三个维度，对主要产自我市对口地区的180家企业、508款参评产品进行评分，通过综合汇算评分结果和220万网络投票数，最终推选出喀什灰枣、汕头牛肉丸等100款消费帮扶“百强好产品”。同时，设计制作出一套“百强好产品”品牌形象标识，包括“圳兴乡村”好物和“百强好产品”logo、“家乡的味道”理念和宣传口号，获得中国新闻网、晶报、香港商报、深圳新闻广播、壹深圳等媒体广泛宣传报道，有效提升“百强好产品”和“圳兴乡村”好物的品牌知名度。</w:t>
      </w:r>
    </w:p>
    <w:p>
      <w:pPr>
        <w:pStyle w:val="4"/>
        <w:spacing w:before="1" w:line="375" w:lineRule="auto"/>
        <w:ind w:left="44" w:leftChars="20" w:right="907" w:firstLine="476"/>
        <w:jc w:val="both"/>
        <w:rPr>
          <w:rFonts w:hint="eastAsia"/>
          <w:spacing w:val="-2"/>
          <w:lang w:eastAsia="zh-CN"/>
        </w:rPr>
      </w:pPr>
      <w:r>
        <w:rPr>
          <w:spacing w:val="14"/>
          <w:lang w:eastAsia="zh-CN"/>
        </w:rPr>
        <w:t>项目</w:t>
      </w:r>
      <w:r>
        <w:rPr>
          <w:spacing w:val="11"/>
          <w:lang w:eastAsia="zh-CN"/>
        </w:rPr>
        <w:t>实际支出</w:t>
      </w:r>
      <w:r>
        <w:rPr>
          <w:rFonts w:hint="eastAsia"/>
          <w:lang w:eastAsia="zh-CN"/>
        </w:rPr>
        <w:t>480,000</w:t>
      </w:r>
      <w:r>
        <w:rPr>
          <w:lang w:eastAsia="zh-CN"/>
        </w:rPr>
        <w:t>.00</w:t>
      </w:r>
      <w:r>
        <w:rPr>
          <w:spacing w:val="-2"/>
          <w:lang w:eastAsia="zh-CN"/>
        </w:rPr>
        <w:t>元。</w:t>
      </w:r>
    </w:p>
    <w:p>
      <w:pPr>
        <w:pStyle w:val="4"/>
        <w:spacing w:before="1" w:line="375" w:lineRule="auto"/>
        <w:ind w:left="44" w:leftChars="20" w:right="907" w:firstLine="476"/>
        <w:jc w:val="both"/>
        <w:rPr>
          <w:rFonts w:hint="eastAsia"/>
          <w:lang w:eastAsia="zh-CN"/>
        </w:rPr>
      </w:pPr>
      <w:r>
        <w:rPr>
          <w:lang w:eastAsia="zh-CN"/>
        </w:rPr>
        <w:t>（三）</w:t>
      </w:r>
      <w:r>
        <w:rPr>
          <w:rFonts w:hint="eastAsia"/>
          <w:spacing w:val="-2"/>
          <w:lang w:eastAsia="zh-CN"/>
        </w:rPr>
        <w:t>2024年深圳消费帮扶直播带货和文旅推介活动</w:t>
      </w:r>
    </w:p>
    <w:p>
      <w:pPr>
        <w:pStyle w:val="4"/>
        <w:spacing w:before="1"/>
        <w:ind w:left="44" w:leftChars="20" w:right="907" w:firstLine="476"/>
        <w:jc w:val="both"/>
        <w:rPr>
          <w:rFonts w:hint="eastAsia"/>
          <w:sz w:val="22"/>
          <w:lang w:eastAsia="zh-CN"/>
        </w:rPr>
      </w:pPr>
    </w:p>
    <w:p>
      <w:pPr>
        <w:pStyle w:val="4"/>
        <w:spacing w:before="1" w:line="375" w:lineRule="auto"/>
        <w:ind w:left="44" w:leftChars="20" w:right="907" w:firstLine="476"/>
        <w:jc w:val="both"/>
        <w:rPr>
          <w:rFonts w:hint="eastAsia"/>
          <w:spacing w:val="-2"/>
          <w:lang w:eastAsia="zh-CN"/>
        </w:rPr>
      </w:pPr>
      <w:r>
        <w:rPr>
          <w:rFonts w:hint="eastAsia"/>
          <w:spacing w:val="-2"/>
          <w:lang w:eastAsia="zh-CN"/>
        </w:rPr>
        <w:t>活动按照《深圳市人民政府办公厅关于印发深圳市创建国家消费帮扶示范城市工作方案的通知》要求，充分利用直播电商平台、社交新媒体等渠道引流，持续加大对口地区的产品销售和文旅消费力度，带动广大民众参与消费帮扶，进一步提升对口地区产品市场竞争力和品牌影响力，促进当地特色文旅产业不断发展壮大。于6月至10月开展2024年深圳消费帮扶直播带货和文旅推介活动。</w:t>
      </w:r>
    </w:p>
    <w:p>
      <w:pPr>
        <w:pStyle w:val="4"/>
        <w:spacing w:before="1" w:line="375" w:lineRule="auto"/>
        <w:ind w:left="44" w:leftChars="20" w:right="907" w:firstLine="476"/>
        <w:jc w:val="both"/>
        <w:rPr>
          <w:rFonts w:hint="eastAsia"/>
          <w:spacing w:val="-2"/>
          <w:lang w:eastAsia="zh-CN"/>
        </w:rPr>
      </w:pPr>
      <w:r>
        <w:rPr>
          <w:rFonts w:hint="eastAsia"/>
          <w:spacing w:val="-2"/>
          <w:lang w:eastAsia="zh-CN"/>
        </w:rPr>
        <w:t>本次活动先后深入广东汕尾、汕头和江西赣州、贵州毕节开展产地溯源直播，在中秋佳节举办专场销售终端直播带货，累计共开展5场直播活动。活动中详细推介红灯笼荔枝、南澳海产品及钦蜜9号黄金百香果、贵州刺梨和枣夹核桃等帮扶产品，提升产品知名度，进一步助力当地特色产业的发展壮大，为推动实现经济效益与社会效益双赢提供“助农样本”。直播活动累计获得视频播放量超21.5万次，直播曝光超54万人次，带动线上线下交易额达128万元。</w:t>
      </w:r>
    </w:p>
    <w:p>
      <w:pPr>
        <w:pStyle w:val="4"/>
        <w:spacing w:before="1" w:line="375" w:lineRule="auto"/>
        <w:ind w:left="44" w:leftChars="20" w:right="907" w:firstLine="476"/>
        <w:jc w:val="both"/>
        <w:rPr>
          <w:rFonts w:hint="eastAsia"/>
          <w:spacing w:val="-2"/>
          <w:lang w:eastAsia="zh-CN"/>
        </w:rPr>
      </w:pPr>
      <w:r>
        <w:rPr>
          <w:spacing w:val="-2"/>
          <w:lang w:eastAsia="zh-CN"/>
        </w:rPr>
        <w:t>项目实际支出</w:t>
      </w:r>
      <w:r>
        <w:rPr>
          <w:rFonts w:hint="eastAsia"/>
          <w:spacing w:val="-2"/>
          <w:lang w:eastAsia="zh-CN"/>
        </w:rPr>
        <w:t>200,000.00</w:t>
      </w:r>
      <w:r>
        <w:rPr>
          <w:spacing w:val="-2"/>
          <w:lang w:eastAsia="zh-CN"/>
        </w:rPr>
        <w:t>元。</w:t>
      </w:r>
    </w:p>
    <w:p>
      <w:pPr>
        <w:pStyle w:val="4"/>
        <w:spacing w:before="1" w:line="375" w:lineRule="auto"/>
        <w:ind w:left="44" w:leftChars="20" w:right="907" w:firstLine="476"/>
        <w:jc w:val="both"/>
        <w:rPr>
          <w:rFonts w:hint="eastAsia"/>
          <w:lang w:eastAsia="zh-CN"/>
        </w:rPr>
      </w:pPr>
      <w:r>
        <w:rPr>
          <w:lang w:eastAsia="zh-CN"/>
        </w:rPr>
        <w:t>（四）</w:t>
      </w:r>
      <w:r>
        <w:rPr>
          <w:rFonts w:hint="eastAsia"/>
          <w:lang w:eastAsia="zh-CN"/>
        </w:rPr>
        <w:t>深圳对口地区产品营销文创设计大赛活动</w:t>
      </w:r>
    </w:p>
    <w:p>
      <w:pPr>
        <w:pStyle w:val="4"/>
        <w:spacing w:before="1"/>
        <w:ind w:left="44" w:leftChars="20" w:right="907" w:firstLine="476"/>
        <w:jc w:val="both"/>
        <w:rPr>
          <w:rFonts w:hint="eastAsia"/>
          <w:sz w:val="22"/>
          <w:lang w:eastAsia="zh-CN"/>
        </w:rPr>
      </w:pPr>
    </w:p>
    <w:p>
      <w:pPr>
        <w:pStyle w:val="4"/>
        <w:spacing w:before="1" w:line="375" w:lineRule="auto"/>
        <w:ind w:left="44" w:leftChars="20" w:right="907" w:firstLine="476"/>
        <w:jc w:val="both"/>
        <w:rPr>
          <w:rFonts w:hint="eastAsia"/>
          <w:spacing w:val="-2"/>
          <w:lang w:eastAsia="zh-CN"/>
        </w:rPr>
      </w:pPr>
      <w:r>
        <w:rPr>
          <w:rFonts w:hint="eastAsia"/>
          <w:spacing w:val="-2"/>
          <w:lang w:eastAsia="zh-CN"/>
        </w:rPr>
        <w:t>为全面提升深圳对口地区产品品牌形象，增强产品影响力，通过设计力量激活赋能乡村经济，进一步拓宽帮扶产品销售渠道，深圳市乡村振兴和协作交流局联合深圳海吉星消费帮扶中心、深圳广播电影电视集团等单位，于2024年6月至10月开展2024年深圳消费帮扶产品营销文创设计大赛。</w:t>
      </w:r>
    </w:p>
    <w:p>
      <w:pPr>
        <w:pStyle w:val="4"/>
        <w:spacing w:before="1" w:line="375" w:lineRule="auto"/>
        <w:ind w:left="44" w:leftChars="20" w:right="907" w:firstLine="476"/>
        <w:jc w:val="both"/>
        <w:rPr>
          <w:rFonts w:hint="eastAsia"/>
          <w:spacing w:val="-2"/>
          <w:lang w:eastAsia="zh-CN"/>
        </w:rPr>
      </w:pPr>
      <w:r>
        <w:rPr>
          <w:rFonts w:hint="eastAsia"/>
          <w:spacing w:val="-2"/>
          <w:lang w:eastAsia="zh-CN"/>
        </w:rPr>
        <w:t>本次大赛以消费帮扶产品为核心，通过赛事拉动热度，通过设计赋能产品，遴选消费帮扶产品面向全国征集设计稿件。通过3轮比赛，累计评选出108幅获奖作品，其中16幅设计作品与对口地区企业签约落地。对口地区12家帮扶企业与广视优品荟销售平台签约，1家帮扶企业达成深度战略合作。大赛期间，深圳广电集团全媒体响应，大小屏联动，新华网、央广网转发，全网转发量超五千万。通过大赛，深圳广播电影电视集团促使深圳和江西赣州两市成立“赣深设计联盟”，牵手河源共同打造 “河源手信”品牌。</w:t>
      </w:r>
    </w:p>
    <w:p>
      <w:pPr>
        <w:pStyle w:val="4"/>
        <w:spacing w:before="1" w:line="375" w:lineRule="auto"/>
        <w:ind w:left="44" w:leftChars="20" w:right="907" w:firstLine="476"/>
        <w:jc w:val="both"/>
        <w:rPr>
          <w:rFonts w:hint="eastAsia"/>
          <w:spacing w:val="-2"/>
          <w:lang w:eastAsia="zh-CN"/>
        </w:rPr>
      </w:pPr>
      <w:r>
        <w:rPr>
          <w:spacing w:val="-2"/>
          <w:lang w:eastAsia="zh-CN"/>
        </w:rPr>
        <w:t>项目实际支出</w:t>
      </w:r>
      <w:r>
        <w:rPr>
          <w:rFonts w:hint="eastAsia"/>
          <w:spacing w:val="-2"/>
          <w:lang w:eastAsia="zh-CN"/>
        </w:rPr>
        <w:t>800,000.00</w:t>
      </w:r>
      <w:r>
        <w:rPr>
          <w:spacing w:val="-2"/>
          <w:lang w:eastAsia="zh-CN"/>
        </w:rPr>
        <w:t>元。</w:t>
      </w:r>
    </w:p>
    <w:p>
      <w:pPr>
        <w:pStyle w:val="4"/>
        <w:spacing w:before="1" w:line="375" w:lineRule="auto"/>
        <w:ind w:left="44" w:leftChars="20" w:right="907" w:firstLine="476"/>
        <w:jc w:val="both"/>
        <w:rPr>
          <w:rFonts w:hint="eastAsia"/>
          <w:lang w:eastAsia="zh-CN"/>
        </w:rPr>
      </w:pPr>
      <w:r>
        <w:rPr>
          <w:lang w:eastAsia="zh-CN"/>
        </w:rPr>
        <w:t>（五）</w:t>
      </w:r>
      <w:r>
        <w:rPr>
          <w:rFonts w:hint="eastAsia"/>
          <w:lang w:eastAsia="zh-CN"/>
        </w:rPr>
        <w:t>2024年消费帮扶产品及成果推介活动</w:t>
      </w:r>
    </w:p>
    <w:p>
      <w:pPr>
        <w:pStyle w:val="4"/>
        <w:spacing w:before="1"/>
        <w:ind w:left="44" w:leftChars="20" w:right="907" w:firstLine="476"/>
        <w:jc w:val="both"/>
        <w:rPr>
          <w:rFonts w:hint="eastAsia"/>
          <w:sz w:val="22"/>
          <w:lang w:eastAsia="zh-CN"/>
        </w:rPr>
      </w:pPr>
    </w:p>
    <w:p>
      <w:pPr>
        <w:pStyle w:val="4"/>
        <w:spacing w:before="1" w:line="375" w:lineRule="auto"/>
        <w:ind w:left="44" w:leftChars="20" w:right="907" w:firstLine="476"/>
        <w:jc w:val="both"/>
        <w:rPr>
          <w:rFonts w:hint="eastAsia"/>
          <w:spacing w:val="-2"/>
          <w:lang w:eastAsia="zh-CN"/>
        </w:rPr>
      </w:pPr>
      <w:r>
        <w:rPr>
          <w:rFonts w:hint="eastAsia"/>
          <w:lang w:eastAsia="zh-CN"/>
        </w:rPr>
        <w:t>为深入贯彻落实“百千万工程”高质量发展要求，全面深化乡村振兴战略实施，积极响应国家号召，努力推动乡村经济持续健康发展，并进一步提升农产品的品牌影响力以及拓宽乡村特色产品的市场渠道，提升产品知名度和竞争力，为乡村经济繁荣和农产品品牌建设贡献积极力量。深圳市乡村振兴和协作交流局联合深圳海吉星消费帮扶中心等单位，开展2024年消费帮扶产品及成果推介活动</w:t>
      </w:r>
      <w:r>
        <w:rPr>
          <w:spacing w:val="-2"/>
          <w:lang w:eastAsia="zh-CN"/>
        </w:rPr>
        <w:t>。</w:t>
      </w:r>
    </w:p>
    <w:p>
      <w:pPr>
        <w:pStyle w:val="4"/>
        <w:spacing w:before="1" w:line="375" w:lineRule="auto"/>
        <w:ind w:left="44" w:leftChars="20" w:right="907" w:firstLine="476"/>
        <w:jc w:val="both"/>
        <w:rPr>
          <w:rFonts w:hint="eastAsia"/>
          <w:lang w:eastAsia="zh-CN"/>
        </w:rPr>
      </w:pPr>
      <w:r>
        <w:rPr>
          <w:rFonts w:hint="eastAsia"/>
          <w:lang w:eastAsia="zh-CN"/>
        </w:rPr>
        <w:t>本次活动整合深圳广播电影电视集团优势资源，在壹深圳APP消费频道专题推出22条报道，完成了5条深圳卫视第一现场、4条深视都市频道、2条深圳广电财经生活频道、3条天威视讯导视频道展销活动和帮扶产品专题报道，完成12次壹深圳APP开屏广告、64天天威机顶盒开机广告全市覆盖，9天有线信息传输大厦户外楼体LED广告，开展14天公交、地铁媒体移动电视视频展销活动，完成8次壹深圳、14次广视优品荟、12次天威生活慧直播公众号以及61次知名网站发稿推广。同时，对深圳市消费帮扶产品市场开展深入调研，总结深圳市消费帮扶工作总体成效，详细分析产品竞争力提升情况，总结深圳市在长期开展消费帮扶工作中积累的经验和启示，形成一份高质量消费帮扶产品市场竞争力调研报告。</w:t>
      </w:r>
    </w:p>
    <w:p>
      <w:pPr>
        <w:pStyle w:val="4"/>
        <w:spacing w:before="1" w:line="375" w:lineRule="auto"/>
        <w:ind w:left="44" w:leftChars="20" w:right="907" w:firstLine="476"/>
        <w:jc w:val="both"/>
        <w:rPr>
          <w:rFonts w:hint="eastAsia"/>
          <w:lang w:eastAsia="zh-CN"/>
        </w:rPr>
      </w:pPr>
      <w:r>
        <w:rPr>
          <w:lang w:eastAsia="zh-CN"/>
        </w:rPr>
        <w:t>项目实际支出</w:t>
      </w:r>
      <w:r>
        <w:rPr>
          <w:rFonts w:hint="eastAsia"/>
          <w:lang w:eastAsia="zh-CN"/>
        </w:rPr>
        <w:t>1,100,00</w:t>
      </w:r>
      <w:r>
        <w:rPr>
          <w:lang w:eastAsia="zh-CN"/>
        </w:rPr>
        <w:t>0.00元。</w:t>
      </w:r>
    </w:p>
    <w:p>
      <w:pPr>
        <w:pStyle w:val="4"/>
        <w:spacing w:before="1" w:line="375" w:lineRule="auto"/>
        <w:ind w:left="44" w:leftChars="20" w:right="907" w:firstLine="476"/>
        <w:jc w:val="both"/>
        <w:rPr>
          <w:rFonts w:hint="eastAsia"/>
          <w:lang w:eastAsia="zh-CN"/>
        </w:rPr>
      </w:pPr>
      <w:r>
        <w:rPr>
          <w:lang w:eastAsia="zh-CN"/>
        </w:rPr>
        <w:t>（</w:t>
      </w:r>
      <w:r>
        <w:rPr>
          <w:rFonts w:hint="eastAsia"/>
          <w:lang w:eastAsia="zh-CN"/>
        </w:rPr>
        <w:t>六</w:t>
      </w:r>
      <w:r>
        <w:rPr>
          <w:lang w:eastAsia="zh-CN"/>
        </w:rPr>
        <w:t>）</w:t>
      </w:r>
      <w:r>
        <w:rPr>
          <w:rFonts w:hint="eastAsia"/>
          <w:lang w:eastAsia="zh-CN"/>
        </w:rPr>
        <w:t>深圳消费帮扶好产品“进天虹”商超推介活动</w:t>
      </w:r>
    </w:p>
    <w:p>
      <w:pPr>
        <w:pStyle w:val="4"/>
        <w:spacing w:before="1"/>
        <w:ind w:left="44" w:leftChars="20" w:right="907" w:firstLine="476"/>
        <w:jc w:val="both"/>
        <w:rPr>
          <w:rFonts w:hint="eastAsia"/>
          <w:sz w:val="22"/>
          <w:lang w:eastAsia="zh-CN"/>
        </w:rPr>
      </w:pPr>
    </w:p>
    <w:p>
      <w:pPr>
        <w:pStyle w:val="4"/>
        <w:spacing w:before="1" w:line="375" w:lineRule="auto"/>
        <w:ind w:left="44" w:leftChars="20" w:right="907" w:firstLine="476"/>
        <w:jc w:val="both"/>
        <w:rPr>
          <w:rFonts w:hint="eastAsia"/>
          <w:spacing w:val="-2"/>
          <w:lang w:eastAsia="zh-CN"/>
        </w:rPr>
      </w:pPr>
      <w:r>
        <w:rPr>
          <w:rFonts w:hint="eastAsia"/>
          <w:lang w:eastAsia="zh-CN"/>
        </w:rPr>
        <w:t>为进一步推动消费帮扶，助力对口地区经济发展，通过常态化展览展销活动和主题性展览展销活动，为广大消费者提供了解帮扶产品的平台，提高消费者对帮扶产品的认知度和购买意愿，促进消费帮扶产品销售，为对口地区的企业和农户打开市场，实现共赢。在深圳市乡村振兴和协作交流局的指导支持下，深圳海吉星消费帮扶中心联合天虹数科商业股份有限公司于2024年6月至10月开展深圳消费帮扶好产品“进天虹”商超推介活动</w:t>
      </w:r>
      <w:r>
        <w:rPr>
          <w:spacing w:val="-2"/>
          <w:lang w:eastAsia="zh-CN"/>
        </w:rPr>
        <w:t>。</w:t>
      </w:r>
    </w:p>
    <w:p>
      <w:pPr>
        <w:pStyle w:val="4"/>
        <w:spacing w:before="1" w:line="375" w:lineRule="auto"/>
        <w:ind w:left="44" w:leftChars="20" w:right="907" w:firstLine="480"/>
        <w:jc w:val="both"/>
        <w:rPr>
          <w:rFonts w:hint="eastAsia"/>
          <w:spacing w:val="-2"/>
          <w:lang w:eastAsia="zh-CN"/>
        </w:rPr>
      </w:pPr>
      <w:r>
        <w:rPr>
          <w:rFonts w:hint="eastAsia"/>
          <w:lang w:eastAsia="zh-CN"/>
        </w:rPr>
        <w:t>通过好产品“进天虹”商超推介活动开展了1场“圳兴乡村好物，臻享品质生活”主题活动，</w:t>
      </w:r>
      <w:r>
        <w:rPr>
          <w:rFonts w:hint="eastAsia"/>
          <w:spacing w:val="-2"/>
          <w:lang w:eastAsia="zh-CN"/>
        </w:rPr>
        <w:t>现场设置品质好物市集，同时线上设置专区，同步在深圳36家超市推广，主题活动开幕式前后3天累计曝光近5600万。举办活动当月，天虹消费帮扶产品销售2911万元，同比增长367万，增长率为14%。以“广西百色芒果”“山东蒙阴黄桃”及“河北威县鲜奶”三款主推帮扶产品开展专场直播，通过平台推流、天虹私域推广等多种方式提高直播热度和效果。2024年截止至9月，天虹消费帮扶产品销售额近1.3亿。</w:t>
      </w:r>
    </w:p>
    <w:p>
      <w:pPr>
        <w:pStyle w:val="4"/>
        <w:spacing w:before="3" w:line="374" w:lineRule="auto"/>
        <w:ind w:left="119" w:right="908" w:firstLine="479"/>
        <w:jc w:val="both"/>
        <w:rPr>
          <w:rFonts w:hint="eastAsia"/>
          <w:lang w:eastAsia="zh-CN"/>
        </w:rPr>
      </w:pPr>
      <w:r>
        <w:rPr>
          <w:lang w:eastAsia="zh-CN"/>
        </w:rPr>
        <w:t>项目实际支出</w:t>
      </w:r>
      <w:r>
        <w:rPr>
          <w:rFonts w:hint="eastAsia"/>
          <w:lang w:eastAsia="zh-CN"/>
        </w:rPr>
        <w:t>655,00</w:t>
      </w:r>
      <w:r>
        <w:rPr>
          <w:lang w:eastAsia="zh-CN"/>
        </w:rPr>
        <w:t>0.00元。</w:t>
      </w:r>
    </w:p>
    <w:p>
      <w:pPr>
        <w:pStyle w:val="4"/>
        <w:spacing w:before="122"/>
        <w:ind w:left="599"/>
        <w:jc w:val="both"/>
        <w:rPr>
          <w:rFonts w:hint="eastAsia"/>
          <w:lang w:eastAsia="zh-CN"/>
        </w:rPr>
      </w:pPr>
      <w:r>
        <w:rPr>
          <w:lang w:eastAsia="zh-CN"/>
        </w:rPr>
        <w:t>（</w:t>
      </w:r>
      <w:r>
        <w:rPr>
          <w:rFonts w:hint="eastAsia"/>
          <w:lang w:eastAsia="zh-CN"/>
        </w:rPr>
        <w:t>七</w:t>
      </w:r>
      <w:r>
        <w:rPr>
          <w:lang w:eastAsia="zh-CN"/>
        </w:rPr>
        <w:t>）</w:t>
      </w:r>
      <w:r>
        <w:rPr>
          <w:rFonts w:hint="eastAsia"/>
          <w:lang w:eastAsia="zh-CN"/>
        </w:rPr>
        <w:t>深圳消费帮扶好产品“华润万家”商超推介活动</w:t>
      </w:r>
    </w:p>
    <w:p>
      <w:pPr>
        <w:pStyle w:val="4"/>
        <w:spacing w:before="11"/>
        <w:jc w:val="both"/>
        <w:rPr>
          <w:rFonts w:hint="eastAsia"/>
          <w:sz w:val="22"/>
          <w:lang w:eastAsia="zh-CN"/>
        </w:rPr>
      </w:pPr>
    </w:p>
    <w:p>
      <w:pPr>
        <w:pStyle w:val="4"/>
        <w:spacing w:before="12" w:beforeLines="5" w:line="375" w:lineRule="auto"/>
        <w:ind w:left="119" w:right="907" w:firstLine="476"/>
        <w:jc w:val="both"/>
        <w:rPr>
          <w:rFonts w:hint="eastAsia"/>
          <w:spacing w:val="-2"/>
          <w:lang w:eastAsia="zh-CN"/>
        </w:rPr>
      </w:pPr>
      <w:r>
        <w:rPr>
          <w:rFonts w:hint="eastAsia"/>
          <w:lang w:eastAsia="zh-CN"/>
        </w:rPr>
        <w:t>为深度挖掘深圳与对口地区的产销项目对接，促成更多商贸合作落地见效，以深圳消费帮扶好产品展览展销为媒介，点燃万家“烟火气”，释放消费潜力，促进经济增长，华润万家有限公司在深圳市乡村振兴和协作交流局、华润集团的统筹指导下，联合深圳海吉星消费帮扶中心立足双方优势，深挖消费推力，撬动各方力量，于2024年4月至10月开展2024年深圳消费帮扶好产品“华润万家”商超推介活动</w:t>
      </w:r>
      <w:r>
        <w:rPr>
          <w:spacing w:val="-2"/>
          <w:lang w:eastAsia="zh-CN"/>
        </w:rPr>
        <w:t>。</w:t>
      </w:r>
    </w:p>
    <w:p>
      <w:pPr>
        <w:pStyle w:val="4"/>
        <w:spacing w:before="12" w:beforeLines="5" w:line="375" w:lineRule="auto"/>
        <w:ind w:left="119" w:right="907" w:firstLine="476"/>
        <w:jc w:val="both"/>
        <w:rPr>
          <w:rFonts w:hint="eastAsia"/>
          <w:lang w:eastAsia="zh-CN"/>
        </w:rPr>
      </w:pPr>
      <w:r>
        <w:rPr>
          <w:rFonts w:hint="eastAsia"/>
          <w:lang w:eastAsia="zh-CN"/>
        </w:rPr>
        <w:t>本次活动中，华润万家深圳线下门店成立“圳兴乡村好物”展销专区40个；线上渠道万家APP成立“圳兴乡村好物”专栏，通过万家小程序、APP、抖音等平台开展产销对接助农直播超100余次，线上销售超2000万元。同时多形式、多渠道、多维度开展宣传推广工作，彩页海报投放数量达22万份，电子屏广告位投放约1000多个。在潮州市举办“圳兴乡村 好物进万家”产销对接活动，活动内容包括展览展示、助农直播、“我为美丽乡村做代言”、产销合作签约仪式等，华润万家与潮州市7家特色农产品企业签订合作协议，精选当地优质农产品进入平台，通过自身平台将优质农产品引入深圳市场，打造对口帮扶地产品直通服务的“快车道”，助力农村地区经济增长，全面推进乡村振兴。</w:t>
      </w:r>
    </w:p>
    <w:p>
      <w:pPr>
        <w:pStyle w:val="4"/>
        <w:spacing w:before="12" w:beforeLines="5" w:line="375" w:lineRule="auto"/>
        <w:ind w:left="44" w:leftChars="20" w:right="352" w:rightChars="160" w:firstLine="476"/>
        <w:jc w:val="both"/>
        <w:rPr>
          <w:rFonts w:hint="eastAsia"/>
          <w:lang w:eastAsia="zh-CN"/>
        </w:rPr>
      </w:pPr>
      <w:r>
        <w:rPr>
          <w:lang w:eastAsia="zh-CN"/>
        </w:rPr>
        <w:t>项目实际支出</w:t>
      </w:r>
      <w:r>
        <w:rPr>
          <w:rFonts w:hint="eastAsia"/>
          <w:lang w:eastAsia="zh-CN"/>
        </w:rPr>
        <w:t>449,970</w:t>
      </w:r>
      <w:r>
        <w:rPr>
          <w:lang w:eastAsia="zh-CN"/>
        </w:rPr>
        <w:t>.00元。</w:t>
      </w:r>
    </w:p>
    <w:p>
      <w:pPr>
        <w:pStyle w:val="4"/>
        <w:spacing w:before="12" w:beforeLines="5" w:line="375" w:lineRule="auto"/>
        <w:ind w:left="44" w:leftChars="20" w:right="352" w:rightChars="160" w:firstLine="476"/>
        <w:jc w:val="both"/>
        <w:rPr>
          <w:rFonts w:hint="eastAsia"/>
          <w:lang w:eastAsia="zh-CN"/>
        </w:rPr>
      </w:pPr>
      <w:r>
        <w:rPr>
          <w:lang w:eastAsia="zh-CN"/>
        </w:rPr>
        <w:t>（</w:t>
      </w:r>
      <w:r>
        <w:rPr>
          <w:rFonts w:hint="eastAsia"/>
          <w:lang w:eastAsia="zh-CN"/>
        </w:rPr>
        <w:t>八</w:t>
      </w:r>
      <w:r>
        <w:rPr>
          <w:lang w:eastAsia="zh-CN"/>
        </w:rPr>
        <w:t>）</w:t>
      </w:r>
      <w:r>
        <w:rPr>
          <w:rFonts w:hint="eastAsia"/>
          <w:lang w:eastAsia="zh-CN"/>
        </w:rPr>
        <w:t>深圳消费帮扶好产品“进钱大妈”商超推介活动</w:t>
      </w:r>
    </w:p>
    <w:p>
      <w:pPr>
        <w:pStyle w:val="4"/>
        <w:spacing w:before="12" w:beforeLines="5"/>
        <w:ind w:left="44" w:leftChars="20" w:right="352" w:rightChars="160" w:firstLine="476"/>
        <w:jc w:val="both"/>
        <w:rPr>
          <w:rFonts w:hint="eastAsia"/>
          <w:sz w:val="22"/>
          <w:lang w:eastAsia="zh-CN"/>
        </w:rPr>
      </w:pPr>
    </w:p>
    <w:p>
      <w:pPr>
        <w:pStyle w:val="4"/>
        <w:spacing w:before="12" w:beforeLines="5" w:line="375" w:lineRule="auto"/>
        <w:ind w:left="44" w:leftChars="20" w:right="352" w:rightChars="160" w:firstLine="476"/>
        <w:jc w:val="both"/>
        <w:rPr>
          <w:rFonts w:hint="eastAsia"/>
          <w:spacing w:val="-2"/>
          <w:lang w:eastAsia="zh-CN"/>
        </w:rPr>
      </w:pPr>
      <w:r>
        <w:rPr>
          <w:rFonts w:hint="eastAsia"/>
          <w:lang w:eastAsia="zh-CN"/>
        </w:rPr>
        <w:t>为强化帮扶农产品推广力度，致力消费帮扶，助力乡村振兴，深圳市钱大妈农产品有限公司在集团2024年度产品推广活动方案基础上以及深圳市乡村振兴和协作交流局的支持指导下，联合深圳海吉星消费帮扶中心开展深圳消费帮扶好产品“进钱大妈”商超推介活动。活动在2024年通过集中展销、门店促销、品牌宣传等系列形式，以钱大妈深圳地区门店作为主要宣传渠道，将对口地区特色农产品向深圳消费者进行有力推介，积极营造消费帮扶浓厚氛围，助力帮扶产品“出山入湾”和当地农户增收致富</w:t>
      </w:r>
      <w:r>
        <w:rPr>
          <w:spacing w:val="-2"/>
          <w:lang w:eastAsia="zh-CN"/>
        </w:rPr>
        <w:t>。</w:t>
      </w:r>
    </w:p>
    <w:p>
      <w:pPr>
        <w:pStyle w:val="4"/>
        <w:spacing w:before="12" w:beforeLines="5" w:line="375" w:lineRule="auto"/>
        <w:ind w:left="44" w:leftChars="20" w:right="352" w:rightChars="160" w:firstLine="476"/>
        <w:jc w:val="both"/>
        <w:rPr>
          <w:rFonts w:hint="eastAsia"/>
          <w:lang w:eastAsia="zh-CN"/>
        </w:rPr>
      </w:pPr>
      <w:r>
        <w:rPr>
          <w:rFonts w:hint="eastAsia"/>
          <w:lang w:eastAsia="zh-CN"/>
        </w:rPr>
        <w:t>利用钱大妈门店现有的人流基础，精选人流量较高的门店开展了贵州五谷蛋、青红脆李专项推广等8场集中推介展销活动，向消费者推介、展示、销售来自对口地区的优质农产品；组织和动员钱大妈加盟门店开展了库尔勒香梨、甜玉米专场促销等24场让利活动，以“价廉”吸引并促成消费者完成首次购买，供应商保障产品“物美价优”，让消费者从“头回客”向“回头客”转变，使消费者成为了帮扶产品的忠实顾客；利用了钱大妈门店覆盖密度广等优势，对当期开展促销活动的帮扶产品进行了大力宣传，提升了帮扶产品的品牌知名度。2024年截至10月，钱大妈累计带动消费帮扶产品销售11,050.43万元，完成年度目标达192.6%。</w:t>
      </w:r>
    </w:p>
    <w:p>
      <w:pPr>
        <w:pStyle w:val="4"/>
        <w:spacing w:before="12" w:beforeLines="5" w:line="375" w:lineRule="auto"/>
        <w:ind w:left="44" w:leftChars="20" w:right="352" w:rightChars="160" w:firstLine="476"/>
        <w:jc w:val="both"/>
        <w:rPr>
          <w:rFonts w:hint="eastAsia"/>
          <w:lang w:eastAsia="zh-CN"/>
        </w:rPr>
      </w:pPr>
      <w:r>
        <w:rPr>
          <w:lang w:eastAsia="zh-CN"/>
        </w:rPr>
        <w:t>项目实际支出</w:t>
      </w:r>
      <w:r>
        <w:rPr>
          <w:rFonts w:hint="eastAsia"/>
          <w:lang w:eastAsia="zh-CN"/>
        </w:rPr>
        <w:t>349,952</w:t>
      </w:r>
      <w:r>
        <w:rPr>
          <w:lang w:eastAsia="zh-CN"/>
        </w:rPr>
        <w:t>.00元。</w:t>
      </w:r>
    </w:p>
    <w:p>
      <w:pPr>
        <w:pStyle w:val="4"/>
        <w:spacing w:before="12" w:beforeLines="5"/>
        <w:ind w:left="44" w:leftChars="20" w:right="352" w:rightChars="160" w:firstLine="476"/>
        <w:jc w:val="both"/>
        <w:rPr>
          <w:rFonts w:hint="eastAsia"/>
          <w:lang w:eastAsia="zh-CN"/>
        </w:rPr>
      </w:pPr>
    </w:p>
    <w:p>
      <w:pPr>
        <w:pStyle w:val="3"/>
        <w:spacing w:before="12" w:beforeLines="5" w:line="375" w:lineRule="auto"/>
        <w:ind w:left="44" w:leftChars="20" w:right="352" w:rightChars="160" w:firstLine="476"/>
        <w:jc w:val="both"/>
        <w:rPr>
          <w:rFonts w:hint="eastAsia"/>
          <w:spacing w:val="-2"/>
          <w:lang w:eastAsia="zh-CN"/>
        </w:rPr>
      </w:pPr>
      <w:r>
        <w:rPr>
          <w:spacing w:val="-2"/>
          <w:lang w:eastAsia="zh-CN"/>
        </w:rPr>
        <w:t>四、审计结果</w:t>
      </w:r>
    </w:p>
    <w:p>
      <w:pPr>
        <w:pStyle w:val="4"/>
        <w:spacing w:before="12" w:beforeLines="5" w:line="375" w:lineRule="auto"/>
        <w:ind w:left="44" w:leftChars="20" w:right="352" w:rightChars="160" w:firstLine="476"/>
        <w:jc w:val="both"/>
        <w:rPr>
          <w:rFonts w:hint="eastAsia"/>
          <w:spacing w:val="-2"/>
          <w:lang w:eastAsia="zh-CN"/>
        </w:rPr>
      </w:pPr>
      <w:r>
        <w:rPr>
          <w:spacing w:val="-2"/>
          <w:lang w:eastAsia="zh-CN"/>
        </w:rPr>
        <w:t>海吉星公司申报的202</w:t>
      </w:r>
      <w:r>
        <w:rPr>
          <w:rFonts w:hint="eastAsia"/>
          <w:spacing w:val="-2"/>
          <w:lang w:eastAsia="zh-CN"/>
        </w:rPr>
        <w:t>4</w:t>
      </w:r>
      <w:r>
        <w:rPr>
          <w:spacing w:val="-2"/>
          <w:lang w:eastAsia="zh-CN"/>
        </w:rPr>
        <w:t>年消费帮扶产品“</w:t>
      </w:r>
      <w:r>
        <w:rPr>
          <w:rFonts w:hint="eastAsia"/>
          <w:lang w:eastAsia="zh-CN"/>
        </w:rPr>
        <w:t>消费帮扶金秋行动之寻味广东</w:t>
      </w:r>
      <w:r>
        <w:rPr>
          <w:spacing w:val="-2"/>
          <w:lang w:eastAsia="zh-CN"/>
        </w:rPr>
        <w:t>”活动</w:t>
      </w:r>
      <w:r>
        <w:rPr>
          <w:rFonts w:hint="eastAsia"/>
          <w:spacing w:val="-2"/>
          <w:lang w:eastAsia="zh-CN"/>
        </w:rPr>
        <w:t>等8</w:t>
      </w:r>
      <w:r>
        <w:rPr>
          <w:spacing w:val="-2"/>
          <w:lang w:eastAsia="zh-CN"/>
        </w:rPr>
        <w:t>个项目预算经费合</w:t>
      </w:r>
      <w:r>
        <w:rPr>
          <w:lang w:eastAsia="zh-CN"/>
        </w:rPr>
        <w:t>计</w:t>
      </w:r>
      <w:r>
        <w:rPr>
          <w:rFonts w:hint="eastAsia"/>
          <w:lang w:eastAsia="zh-CN"/>
        </w:rPr>
        <w:t>4,758,686.00</w:t>
      </w:r>
      <w:r>
        <w:rPr>
          <w:lang w:eastAsia="zh-CN"/>
        </w:rPr>
        <w:t>元，申报项目总支出</w:t>
      </w:r>
      <w:r>
        <w:rPr>
          <w:rFonts w:hint="eastAsia"/>
          <w:lang w:eastAsia="zh-CN"/>
        </w:rPr>
        <w:t>4,758,686.00</w:t>
      </w:r>
      <w:r>
        <w:rPr>
          <w:lang w:eastAsia="zh-CN"/>
        </w:rPr>
        <w:t>元</w:t>
      </w:r>
      <w:r>
        <w:rPr>
          <w:rFonts w:hint="eastAsia"/>
          <w:lang w:eastAsia="zh-CN"/>
        </w:rPr>
        <w:t>。</w:t>
      </w:r>
      <w:r>
        <w:rPr>
          <w:lang w:eastAsia="zh-CN"/>
        </w:rPr>
        <w:t>经审计，</w:t>
      </w:r>
      <w:r>
        <w:rPr>
          <w:rFonts w:hint="eastAsia"/>
          <w:lang w:eastAsia="zh-CN"/>
        </w:rPr>
        <w:t>8</w:t>
      </w:r>
      <w:r>
        <w:rPr>
          <w:lang w:eastAsia="zh-CN"/>
        </w:rPr>
        <w:t>个活动项目核减金额</w:t>
      </w:r>
      <w:r>
        <w:rPr>
          <w:rFonts w:hint="eastAsia"/>
          <w:lang w:eastAsia="zh-CN"/>
        </w:rPr>
        <w:t>267,724.35</w:t>
      </w:r>
      <w:r>
        <w:rPr>
          <w:lang w:eastAsia="zh-CN"/>
        </w:rPr>
        <w:t>元，核减原因为核减可抵扣增值税进项税额、超出预算经费，项目支出审定金额</w:t>
      </w:r>
      <w:r>
        <w:rPr>
          <w:rFonts w:hint="eastAsia"/>
          <w:lang w:eastAsia="zh-CN"/>
        </w:rPr>
        <w:t>4,490,961.65</w:t>
      </w:r>
      <w:r>
        <w:rPr>
          <w:lang w:eastAsia="zh-CN"/>
        </w:rPr>
        <w:t>元（明细</w:t>
      </w:r>
      <w:r>
        <w:rPr>
          <w:spacing w:val="-2"/>
          <w:lang w:eastAsia="zh-CN"/>
        </w:rPr>
        <w:t>详见</w:t>
      </w:r>
      <w:r>
        <w:rPr>
          <w:rFonts w:hint="eastAsia"/>
          <w:spacing w:val="-2"/>
          <w:lang w:eastAsia="zh-CN"/>
        </w:rPr>
        <w:t>下表</w:t>
      </w:r>
      <w:r>
        <w:rPr>
          <w:spacing w:val="-2"/>
          <w:lang w:eastAsia="zh-CN"/>
        </w:rPr>
        <w:t>）。</w:t>
      </w:r>
      <w:r>
        <w:rPr>
          <w:rFonts w:hint="eastAsia"/>
          <w:spacing w:val="-2"/>
          <w:lang w:eastAsia="zh-CN"/>
        </w:rPr>
        <w:t xml:space="preserve">                      单位：元</w:t>
      </w:r>
    </w:p>
    <w:tbl>
      <w:tblPr>
        <w:tblStyle w:val="7"/>
        <w:tblW w:w="9591" w:type="dxa"/>
        <w:tblInd w:w="-154" w:type="dxa"/>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Layout w:type="fixed"/>
        <w:tblCellMar>
          <w:top w:w="0" w:type="dxa"/>
          <w:left w:w="108" w:type="dxa"/>
          <w:bottom w:w="0" w:type="dxa"/>
          <w:right w:w="108" w:type="dxa"/>
        </w:tblCellMar>
      </w:tblPr>
      <w:tblGrid>
        <w:gridCol w:w="760"/>
        <w:gridCol w:w="2796"/>
        <w:gridCol w:w="1418"/>
        <w:gridCol w:w="1417"/>
        <w:gridCol w:w="1409"/>
        <w:gridCol w:w="1791"/>
      </w:tblGrid>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06" w:hRule="exact"/>
        </w:trPr>
        <w:tc>
          <w:tcPr>
            <w:tcW w:w="760" w:type="dxa"/>
            <w:vAlign w:val="center"/>
          </w:tcPr>
          <w:p>
            <w:pPr>
              <w:autoSpaceDE/>
              <w:autoSpaceDN/>
              <w:spacing w:line="400" w:lineRule="exact"/>
              <w:jc w:val="center"/>
              <w:rPr>
                <w:rFonts w:hint="eastAsia" w:cs="Times New Roman"/>
                <w:b/>
                <w:kern w:val="2"/>
                <w:sz w:val="21"/>
                <w:szCs w:val="21"/>
                <w:lang w:eastAsia="zh-CN"/>
              </w:rPr>
            </w:pPr>
            <w:r>
              <w:rPr>
                <w:rFonts w:hint="eastAsia" w:cs="Times New Roman"/>
                <w:b/>
                <w:kern w:val="2"/>
                <w:sz w:val="21"/>
                <w:szCs w:val="21"/>
                <w:lang w:eastAsia="zh-CN"/>
              </w:rPr>
              <w:t>序号</w:t>
            </w:r>
          </w:p>
        </w:tc>
        <w:tc>
          <w:tcPr>
            <w:tcW w:w="2796" w:type="dxa"/>
          </w:tcPr>
          <w:p>
            <w:pPr>
              <w:autoSpaceDE/>
              <w:autoSpaceDN/>
              <w:spacing w:line="400" w:lineRule="exact"/>
              <w:jc w:val="center"/>
              <w:rPr>
                <w:rFonts w:hint="eastAsia" w:cs="Times New Roman"/>
                <w:b/>
                <w:kern w:val="2"/>
                <w:sz w:val="21"/>
                <w:szCs w:val="21"/>
                <w:lang w:eastAsia="zh-CN"/>
              </w:rPr>
            </w:pPr>
            <w:r>
              <w:rPr>
                <w:rFonts w:hint="eastAsia" w:cs="Times New Roman"/>
                <w:b/>
                <w:kern w:val="2"/>
                <w:sz w:val="21"/>
                <w:szCs w:val="21"/>
                <w:lang w:eastAsia="zh-CN"/>
              </w:rPr>
              <w:t>项目</w:t>
            </w:r>
          </w:p>
        </w:tc>
        <w:tc>
          <w:tcPr>
            <w:tcW w:w="1418" w:type="dxa"/>
          </w:tcPr>
          <w:p>
            <w:pPr>
              <w:autoSpaceDE/>
              <w:autoSpaceDN/>
              <w:spacing w:line="400" w:lineRule="exact"/>
              <w:jc w:val="center"/>
              <w:rPr>
                <w:rFonts w:hint="eastAsia" w:cs="Times New Roman"/>
                <w:b/>
                <w:kern w:val="2"/>
                <w:sz w:val="21"/>
                <w:szCs w:val="21"/>
                <w:lang w:eastAsia="zh-CN"/>
              </w:rPr>
            </w:pPr>
            <w:r>
              <w:rPr>
                <w:rFonts w:hint="eastAsia" w:cs="Times New Roman"/>
                <w:b/>
                <w:kern w:val="2"/>
                <w:sz w:val="21"/>
                <w:szCs w:val="21"/>
                <w:lang w:eastAsia="zh-CN"/>
              </w:rPr>
              <w:t>预算金额</w:t>
            </w:r>
          </w:p>
        </w:tc>
        <w:tc>
          <w:tcPr>
            <w:tcW w:w="1417" w:type="dxa"/>
          </w:tcPr>
          <w:p>
            <w:pPr>
              <w:autoSpaceDE/>
              <w:autoSpaceDN/>
              <w:spacing w:line="400" w:lineRule="exact"/>
              <w:jc w:val="center"/>
              <w:rPr>
                <w:rFonts w:hint="eastAsia" w:cs="Times New Roman"/>
                <w:b/>
                <w:kern w:val="2"/>
                <w:sz w:val="21"/>
                <w:szCs w:val="21"/>
                <w:lang w:eastAsia="zh-CN"/>
              </w:rPr>
            </w:pPr>
            <w:r>
              <w:rPr>
                <w:rFonts w:hint="eastAsia" w:cs="Times New Roman"/>
                <w:b/>
                <w:kern w:val="2"/>
                <w:sz w:val="21"/>
                <w:szCs w:val="21"/>
                <w:lang w:eastAsia="zh-CN"/>
              </w:rPr>
              <w:t>申报金额</w:t>
            </w:r>
          </w:p>
        </w:tc>
        <w:tc>
          <w:tcPr>
            <w:tcW w:w="1409" w:type="dxa"/>
            <w:vAlign w:val="center"/>
          </w:tcPr>
          <w:p>
            <w:pPr>
              <w:autoSpaceDE/>
              <w:autoSpaceDN/>
              <w:spacing w:line="400" w:lineRule="exact"/>
              <w:jc w:val="center"/>
              <w:rPr>
                <w:rFonts w:hint="eastAsia" w:cs="Times New Roman"/>
                <w:b/>
                <w:kern w:val="2"/>
                <w:sz w:val="21"/>
                <w:szCs w:val="21"/>
                <w:lang w:eastAsia="zh-CN"/>
              </w:rPr>
            </w:pPr>
            <w:r>
              <w:rPr>
                <w:rFonts w:hint="eastAsia" w:cs="Times New Roman"/>
                <w:b/>
                <w:kern w:val="2"/>
                <w:sz w:val="21"/>
                <w:szCs w:val="21"/>
                <w:lang w:eastAsia="zh-CN"/>
              </w:rPr>
              <w:t>核减金额</w:t>
            </w:r>
          </w:p>
        </w:tc>
        <w:tc>
          <w:tcPr>
            <w:tcW w:w="1791" w:type="dxa"/>
            <w:vAlign w:val="center"/>
          </w:tcPr>
          <w:p>
            <w:pPr>
              <w:tabs>
                <w:tab w:val="left" w:pos="4752"/>
              </w:tabs>
              <w:autoSpaceDE/>
              <w:autoSpaceDN/>
              <w:spacing w:line="400" w:lineRule="exact"/>
              <w:ind w:right="605"/>
              <w:rPr>
                <w:rFonts w:hint="eastAsia" w:cs="Times New Roman"/>
                <w:b/>
                <w:kern w:val="2"/>
                <w:sz w:val="21"/>
                <w:szCs w:val="21"/>
                <w:lang w:eastAsia="zh-CN"/>
              </w:rPr>
            </w:pPr>
            <w:r>
              <w:rPr>
                <w:rFonts w:hint="eastAsia" w:cs="Times New Roman"/>
                <w:b/>
                <w:kern w:val="2"/>
                <w:sz w:val="21"/>
                <w:szCs w:val="21"/>
                <w:lang w:eastAsia="zh-CN"/>
              </w:rPr>
              <w:t>审定金额</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861" w:hRule="exact"/>
        </w:trPr>
        <w:tc>
          <w:tcPr>
            <w:tcW w:w="760" w:type="dxa"/>
            <w:vAlign w:val="center"/>
          </w:tcPr>
          <w:p>
            <w:pPr>
              <w:autoSpaceDE/>
              <w:autoSpaceDN/>
              <w:spacing w:line="400" w:lineRule="exact"/>
              <w:jc w:val="both"/>
              <w:rPr>
                <w:rFonts w:hint="eastAsia" w:cs="Times New Roman"/>
                <w:kern w:val="2"/>
                <w:sz w:val="18"/>
                <w:szCs w:val="18"/>
                <w:lang w:eastAsia="zh-CN"/>
              </w:rPr>
            </w:pPr>
            <w:r>
              <w:rPr>
                <w:rFonts w:hint="eastAsia" w:cs="Times New Roman"/>
                <w:kern w:val="2"/>
                <w:sz w:val="18"/>
                <w:szCs w:val="18"/>
                <w:lang w:eastAsia="zh-CN"/>
              </w:rPr>
              <w:t>1</w:t>
            </w:r>
          </w:p>
        </w:tc>
        <w:tc>
          <w:tcPr>
            <w:tcW w:w="2796" w:type="dxa"/>
          </w:tcPr>
          <w:p>
            <w:pPr>
              <w:autoSpaceDE/>
              <w:autoSpaceDN/>
              <w:spacing w:line="400" w:lineRule="exact"/>
              <w:rPr>
                <w:rFonts w:hint="eastAsia" w:cs="Times New Roman"/>
                <w:kern w:val="2"/>
                <w:sz w:val="18"/>
                <w:szCs w:val="18"/>
                <w:lang w:eastAsia="zh-CN"/>
              </w:rPr>
            </w:pPr>
            <w:r>
              <w:rPr>
                <w:rFonts w:hint="eastAsia" w:cs="Times New Roman"/>
                <w:kern w:val="2"/>
                <w:sz w:val="18"/>
                <w:szCs w:val="18"/>
                <w:lang w:eastAsia="zh-CN"/>
              </w:rPr>
              <w:t>2024年广东省“消费帮扶金秋行动”之</w:t>
            </w:r>
            <w:r>
              <w:rPr>
                <w:rFonts w:hint="eastAsia"/>
                <w:sz w:val="18"/>
                <w:szCs w:val="18"/>
                <w:lang w:eastAsia="zh-CN"/>
              </w:rPr>
              <w:t>“寻味广东”美食文化展活动</w:t>
            </w:r>
          </w:p>
        </w:tc>
        <w:tc>
          <w:tcPr>
            <w:tcW w:w="1418" w:type="dxa"/>
            <w:vAlign w:val="center"/>
          </w:tcPr>
          <w:p>
            <w:pPr>
              <w:autoSpaceDE/>
              <w:autoSpaceDN/>
              <w:spacing w:line="400" w:lineRule="exact"/>
              <w:jc w:val="right"/>
              <w:rPr>
                <w:rFonts w:hint="eastAsia" w:cs="Times New Roman"/>
                <w:kern w:val="2"/>
                <w:sz w:val="18"/>
                <w:szCs w:val="18"/>
                <w:lang w:eastAsia="zh-CN"/>
              </w:rPr>
            </w:pPr>
            <w:r>
              <w:rPr>
                <w:rFonts w:hint="eastAsia"/>
                <w:spacing w:val="-2"/>
                <w:sz w:val="18"/>
                <w:szCs w:val="18"/>
                <w:lang w:eastAsia="zh-CN"/>
              </w:rPr>
              <w:t>723,764.00</w:t>
            </w:r>
          </w:p>
        </w:tc>
        <w:tc>
          <w:tcPr>
            <w:tcW w:w="1417" w:type="dxa"/>
            <w:vAlign w:val="center"/>
          </w:tcPr>
          <w:p>
            <w:pPr>
              <w:autoSpaceDE/>
              <w:autoSpaceDN/>
              <w:spacing w:line="400" w:lineRule="exact"/>
              <w:jc w:val="right"/>
              <w:rPr>
                <w:rFonts w:hint="eastAsia" w:cs="Times New Roman"/>
                <w:kern w:val="2"/>
                <w:sz w:val="18"/>
                <w:szCs w:val="18"/>
                <w:lang w:eastAsia="zh-CN"/>
              </w:rPr>
            </w:pPr>
            <w:r>
              <w:rPr>
                <w:rFonts w:hint="eastAsia"/>
                <w:spacing w:val="-2"/>
                <w:sz w:val="18"/>
                <w:szCs w:val="18"/>
                <w:lang w:eastAsia="zh-CN"/>
              </w:rPr>
              <w:t>723,764.00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39,332.55</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684,431.45</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837" w:hRule="exact"/>
        </w:trPr>
        <w:tc>
          <w:tcPr>
            <w:tcW w:w="760" w:type="dxa"/>
            <w:vAlign w:val="center"/>
          </w:tcPr>
          <w:p>
            <w:pPr>
              <w:autoSpaceDE/>
              <w:autoSpaceDN/>
              <w:spacing w:line="400" w:lineRule="exact"/>
              <w:jc w:val="both"/>
              <w:rPr>
                <w:rFonts w:hint="eastAsia" w:cs="Times New Roman"/>
                <w:kern w:val="2"/>
                <w:sz w:val="18"/>
                <w:szCs w:val="18"/>
                <w:lang w:eastAsia="zh-CN"/>
              </w:rPr>
            </w:pPr>
            <w:r>
              <w:rPr>
                <w:rFonts w:hint="eastAsia" w:cs="Times New Roman"/>
                <w:kern w:val="2"/>
                <w:sz w:val="18"/>
                <w:szCs w:val="18"/>
                <w:lang w:eastAsia="zh-CN"/>
              </w:rPr>
              <w:t>2</w:t>
            </w:r>
          </w:p>
        </w:tc>
        <w:tc>
          <w:tcPr>
            <w:tcW w:w="2796" w:type="dxa"/>
          </w:tcPr>
          <w:p>
            <w:pPr>
              <w:autoSpaceDE/>
              <w:autoSpaceDN/>
              <w:spacing w:line="400" w:lineRule="exact"/>
              <w:rPr>
                <w:rFonts w:hint="eastAsia" w:cs="Times New Roman"/>
                <w:kern w:val="2"/>
                <w:sz w:val="18"/>
                <w:szCs w:val="18"/>
                <w:lang w:eastAsia="zh-CN"/>
              </w:rPr>
            </w:pPr>
            <w:r>
              <w:rPr>
                <w:rFonts w:hint="eastAsia" w:cs="Times New Roman"/>
                <w:kern w:val="2"/>
                <w:sz w:val="18"/>
                <w:szCs w:val="18"/>
                <w:lang w:eastAsia="zh-CN"/>
              </w:rPr>
              <w:t>深圳消费帮扶“百强好产品”评选推介活动</w:t>
            </w:r>
          </w:p>
        </w:tc>
        <w:tc>
          <w:tcPr>
            <w:tcW w:w="1418"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480,000.00</w:t>
            </w:r>
          </w:p>
        </w:tc>
        <w:tc>
          <w:tcPr>
            <w:tcW w:w="1417"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480,000.00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27,169.81</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452,830.19</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819" w:hRule="exact"/>
        </w:trPr>
        <w:tc>
          <w:tcPr>
            <w:tcW w:w="760" w:type="dxa"/>
            <w:vAlign w:val="center"/>
          </w:tcPr>
          <w:p>
            <w:pPr>
              <w:autoSpaceDE/>
              <w:autoSpaceDN/>
              <w:spacing w:line="400" w:lineRule="exact"/>
              <w:jc w:val="both"/>
              <w:rPr>
                <w:rFonts w:hint="eastAsia" w:cs="Times New Roman"/>
                <w:kern w:val="2"/>
                <w:sz w:val="18"/>
                <w:szCs w:val="18"/>
                <w:lang w:eastAsia="zh-CN"/>
              </w:rPr>
            </w:pPr>
            <w:r>
              <w:rPr>
                <w:rFonts w:hint="eastAsia" w:cs="Times New Roman"/>
                <w:kern w:val="2"/>
                <w:sz w:val="18"/>
                <w:szCs w:val="18"/>
                <w:lang w:eastAsia="zh-CN"/>
              </w:rPr>
              <w:t>3</w:t>
            </w:r>
          </w:p>
        </w:tc>
        <w:tc>
          <w:tcPr>
            <w:tcW w:w="2796" w:type="dxa"/>
          </w:tcPr>
          <w:p>
            <w:pPr>
              <w:autoSpaceDE/>
              <w:autoSpaceDN/>
              <w:spacing w:line="400" w:lineRule="exact"/>
              <w:rPr>
                <w:rFonts w:hint="eastAsia" w:cs="Times New Roman"/>
                <w:kern w:val="2"/>
                <w:sz w:val="18"/>
                <w:szCs w:val="18"/>
                <w:lang w:eastAsia="zh-CN"/>
              </w:rPr>
            </w:pPr>
            <w:r>
              <w:rPr>
                <w:rFonts w:hint="eastAsia" w:cs="Times New Roman"/>
                <w:kern w:val="2"/>
                <w:sz w:val="18"/>
                <w:szCs w:val="18"/>
                <w:lang w:eastAsia="zh-CN"/>
              </w:rPr>
              <w:t>2024年深圳消费帮扶直播带货和文旅推介活动</w:t>
            </w:r>
          </w:p>
        </w:tc>
        <w:tc>
          <w:tcPr>
            <w:tcW w:w="1418"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200,000.00</w:t>
            </w:r>
          </w:p>
        </w:tc>
        <w:tc>
          <w:tcPr>
            <w:tcW w:w="1417"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200,000.00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11,320.75</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188,679.25</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814" w:hRule="exact"/>
        </w:trPr>
        <w:tc>
          <w:tcPr>
            <w:tcW w:w="760" w:type="dxa"/>
            <w:vAlign w:val="center"/>
          </w:tcPr>
          <w:p>
            <w:pPr>
              <w:autoSpaceDE/>
              <w:autoSpaceDN/>
              <w:spacing w:line="400" w:lineRule="exact"/>
              <w:jc w:val="both"/>
              <w:rPr>
                <w:rFonts w:hint="eastAsia" w:cs="Times New Roman"/>
                <w:kern w:val="2"/>
                <w:sz w:val="21"/>
                <w:szCs w:val="20"/>
                <w:lang w:eastAsia="zh-CN"/>
              </w:rPr>
            </w:pPr>
            <w:r>
              <w:rPr>
                <w:rFonts w:hint="eastAsia" w:cs="Times New Roman"/>
                <w:kern w:val="2"/>
                <w:sz w:val="21"/>
                <w:szCs w:val="20"/>
                <w:lang w:eastAsia="zh-CN"/>
              </w:rPr>
              <w:t>4</w:t>
            </w:r>
          </w:p>
        </w:tc>
        <w:tc>
          <w:tcPr>
            <w:tcW w:w="2796" w:type="dxa"/>
          </w:tcPr>
          <w:p>
            <w:pPr>
              <w:autoSpaceDE/>
              <w:autoSpaceDN/>
              <w:spacing w:line="400" w:lineRule="exact"/>
              <w:rPr>
                <w:rFonts w:hint="eastAsia" w:cs="Times New Roman"/>
                <w:kern w:val="2"/>
                <w:sz w:val="18"/>
                <w:szCs w:val="18"/>
                <w:lang w:eastAsia="zh-CN"/>
              </w:rPr>
            </w:pPr>
            <w:r>
              <w:rPr>
                <w:rFonts w:hint="eastAsia"/>
                <w:sz w:val="18"/>
                <w:szCs w:val="18"/>
                <w:lang w:eastAsia="zh-CN"/>
              </w:rPr>
              <w:t>深圳对口地区产品营销文创设计大赛活动</w:t>
            </w:r>
          </w:p>
        </w:tc>
        <w:tc>
          <w:tcPr>
            <w:tcW w:w="1418"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800,000.00</w:t>
            </w:r>
          </w:p>
        </w:tc>
        <w:tc>
          <w:tcPr>
            <w:tcW w:w="1417"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800,000.00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45,283.02</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754,716.98</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55" w:hRule="exact"/>
        </w:trPr>
        <w:tc>
          <w:tcPr>
            <w:tcW w:w="760" w:type="dxa"/>
            <w:vAlign w:val="center"/>
          </w:tcPr>
          <w:p>
            <w:pPr>
              <w:autoSpaceDE/>
              <w:autoSpaceDN/>
              <w:spacing w:line="400" w:lineRule="exact"/>
              <w:jc w:val="both"/>
              <w:rPr>
                <w:rFonts w:hint="eastAsia" w:cs="Times New Roman"/>
                <w:kern w:val="2"/>
                <w:sz w:val="21"/>
                <w:szCs w:val="20"/>
                <w:lang w:eastAsia="zh-CN"/>
              </w:rPr>
            </w:pPr>
            <w:r>
              <w:rPr>
                <w:rFonts w:hint="eastAsia" w:cs="Times New Roman"/>
                <w:kern w:val="2"/>
                <w:sz w:val="21"/>
                <w:szCs w:val="20"/>
                <w:lang w:eastAsia="zh-CN"/>
              </w:rPr>
              <w:t>5</w:t>
            </w:r>
          </w:p>
        </w:tc>
        <w:tc>
          <w:tcPr>
            <w:tcW w:w="2796" w:type="dxa"/>
          </w:tcPr>
          <w:p>
            <w:pPr>
              <w:autoSpaceDE/>
              <w:autoSpaceDN/>
              <w:spacing w:line="400" w:lineRule="exact"/>
              <w:rPr>
                <w:rFonts w:hint="eastAsia"/>
                <w:sz w:val="18"/>
                <w:szCs w:val="18"/>
                <w:lang w:eastAsia="zh-CN"/>
              </w:rPr>
            </w:pPr>
            <w:r>
              <w:rPr>
                <w:rFonts w:hint="eastAsia"/>
                <w:sz w:val="18"/>
                <w:szCs w:val="18"/>
                <w:lang w:eastAsia="zh-CN"/>
              </w:rPr>
              <w:t>2024年消费帮扶产品及成果推介活动成果推介活动会</w:t>
            </w:r>
          </w:p>
        </w:tc>
        <w:tc>
          <w:tcPr>
            <w:tcW w:w="1418"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1,100,000.00</w:t>
            </w:r>
          </w:p>
        </w:tc>
        <w:tc>
          <w:tcPr>
            <w:tcW w:w="1417" w:type="dxa"/>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1,100,000.00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62,264.15</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1,037,735.85</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55" w:hRule="exact"/>
        </w:trPr>
        <w:tc>
          <w:tcPr>
            <w:tcW w:w="760" w:type="dxa"/>
            <w:vAlign w:val="center"/>
          </w:tcPr>
          <w:p>
            <w:pPr>
              <w:autoSpaceDE/>
              <w:autoSpaceDN/>
              <w:spacing w:line="400" w:lineRule="exact"/>
              <w:jc w:val="both"/>
              <w:rPr>
                <w:rFonts w:hint="eastAsia" w:cs="Times New Roman"/>
                <w:kern w:val="2"/>
                <w:sz w:val="21"/>
                <w:szCs w:val="20"/>
                <w:lang w:eastAsia="zh-CN"/>
              </w:rPr>
            </w:pPr>
            <w:r>
              <w:rPr>
                <w:rFonts w:hint="eastAsia" w:cs="Times New Roman"/>
                <w:kern w:val="2"/>
                <w:sz w:val="21"/>
                <w:szCs w:val="20"/>
                <w:lang w:eastAsia="zh-CN"/>
              </w:rPr>
              <w:t>6</w:t>
            </w:r>
          </w:p>
        </w:tc>
        <w:tc>
          <w:tcPr>
            <w:tcW w:w="2796" w:type="dxa"/>
          </w:tcPr>
          <w:p>
            <w:pPr>
              <w:autoSpaceDE/>
              <w:autoSpaceDN/>
              <w:spacing w:line="400" w:lineRule="exact"/>
              <w:rPr>
                <w:rFonts w:hint="eastAsia"/>
                <w:sz w:val="18"/>
                <w:szCs w:val="18"/>
                <w:lang w:eastAsia="zh-CN"/>
              </w:rPr>
            </w:pPr>
            <w:r>
              <w:rPr>
                <w:rFonts w:hint="eastAsia"/>
                <w:sz w:val="18"/>
                <w:szCs w:val="18"/>
                <w:lang w:eastAsia="zh-CN"/>
              </w:rPr>
              <w:t>深圳消费帮扶好产品“进天虹”商超推介活动</w:t>
            </w:r>
          </w:p>
        </w:tc>
        <w:tc>
          <w:tcPr>
            <w:tcW w:w="1418"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655,000.00</w:t>
            </w:r>
          </w:p>
        </w:tc>
        <w:tc>
          <w:tcPr>
            <w:tcW w:w="1417" w:type="dxa"/>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655,000.00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37,075.47</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617,924.53</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55" w:hRule="exact"/>
        </w:trPr>
        <w:tc>
          <w:tcPr>
            <w:tcW w:w="760" w:type="dxa"/>
            <w:vAlign w:val="center"/>
          </w:tcPr>
          <w:p>
            <w:pPr>
              <w:autoSpaceDE/>
              <w:autoSpaceDN/>
              <w:spacing w:line="400" w:lineRule="exact"/>
              <w:jc w:val="both"/>
              <w:rPr>
                <w:rFonts w:hint="eastAsia" w:cs="Times New Roman"/>
                <w:kern w:val="2"/>
                <w:sz w:val="21"/>
                <w:szCs w:val="20"/>
                <w:lang w:eastAsia="zh-CN"/>
              </w:rPr>
            </w:pPr>
            <w:r>
              <w:rPr>
                <w:rFonts w:hint="eastAsia" w:cs="Times New Roman"/>
                <w:kern w:val="2"/>
                <w:sz w:val="21"/>
                <w:szCs w:val="20"/>
                <w:lang w:eastAsia="zh-CN"/>
              </w:rPr>
              <w:t>7</w:t>
            </w:r>
          </w:p>
        </w:tc>
        <w:tc>
          <w:tcPr>
            <w:tcW w:w="2796" w:type="dxa"/>
          </w:tcPr>
          <w:p>
            <w:pPr>
              <w:autoSpaceDE/>
              <w:autoSpaceDN/>
              <w:spacing w:line="400" w:lineRule="exact"/>
              <w:rPr>
                <w:rFonts w:hint="eastAsia"/>
                <w:sz w:val="18"/>
                <w:szCs w:val="18"/>
                <w:lang w:eastAsia="zh-CN"/>
              </w:rPr>
            </w:pPr>
            <w:r>
              <w:rPr>
                <w:rFonts w:hint="eastAsia"/>
                <w:sz w:val="18"/>
                <w:szCs w:val="18"/>
                <w:lang w:eastAsia="zh-CN"/>
              </w:rPr>
              <w:t>深圳消费帮扶好产品“华润万家”商超推介活动</w:t>
            </w:r>
          </w:p>
        </w:tc>
        <w:tc>
          <w:tcPr>
            <w:tcW w:w="1418" w:type="dxa"/>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449,970.00</w:t>
            </w:r>
          </w:p>
        </w:tc>
        <w:tc>
          <w:tcPr>
            <w:tcW w:w="1417" w:type="dxa"/>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449,970.00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25,470.00</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424,500.00</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55" w:hRule="exact"/>
        </w:trPr>
        <w:tc>
          <w:tcPr>
            <w:tcW w:w="760" w:type="dxa"/>
            <w:vAlign w:val="center"/>
          </w:tcPr>
          <w:p>
            <w:pPr>
              <w:autoSpaceDE/>
              <w:autoSpaceDN/>
              <w:spacing w:line="400" w:lineRule="exact"/>
              <w:jc w:val="both"/>
              <w:rPr>
                <w:rFonts w:hint="eastAsia" w:cs="Times New Roman"/>
                <w:kern w:val="2"/>
                <w:sz w:val="21"/>
                <w:szCs w:val="20"/>
                <w:lang w:eastAsia="zh-CN"/>
              </w:rPr>
            </w:pPr>
            <w:r>
              <w:rPr>
                <w:rFonts w:hint="eastAsia" w:cs="Times New Roman"/>
                <w:kern w:val="2"/>
                <w:sz w:val="21"/>
                <w:szCs w:val="20"/>
                <w:lang w:eastAsia="zh-CN"/>
              </w:rPr>
              <w:t>8</w:t>
            </w:r>
          </w:p>
        </w:tc>
        <w:tc>
          <w:tcPr>
            <w:tcW w:w="2796" w:type="dxa"/>
          </w:tcPr>
          <w:p>
            <w:pPr>
              <w:autoSpaceDE/>
              <w:autoSpaceDN/>
              <w:spacing w:line="400" w:lineRule="exact"/>
              <w:rPr>
                <w:rFonts w:hint="eastAsia"/>
                <w:sz w:val="18"/>
                <w:szCs w:val="18"/>
                <w:lang w:eastAsia="zh-CN"/>
              </w:rPr>
            </w:pPr>
            <w:r>
              <w:rPr>
                <w:rFonts w:hint="eastAsia"/>
                <w:sz w:val="18"/>
                <w:szCs w:val="18"/>
                <w:lang w:eastAsia="zh-CN"/>
              </w:rPr>
              <w:t>深圳消费帮扶好产品“进钱大妈”商超推介活动“进钱大妈”商超推介活动</w:t>
            </w:r>
          </w:p>
        </w:tc>
        <w:tc>
          <w:tcPr>
            <w:tcW w:w="1418" w:type="dxa"/>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349,952.00</w:t>
            </w:r>
          </w:p>
        </w:tc>
        <w:tc>
          <w:tcPr>
            <w:tcW w:w="1417" w:type="dxa"/>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349,952.00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19,808.60</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330,143.40</w:t>
            </w:r>
          </w:p>
        </w:tc>
      </w:tr>
      <w:tr>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49" w:hRule="exact"/>
        </w:trPr>
        <w:tc>
          <w:tcPr>
            <w:tcW w:w="3556" w:type="dxa"/>
            <w:gridSpan w:val="2"/>
            <w:vAlign w:val="center"/>
          </w:tcPr>
          <w:p>
            <w:pPr>
              <w:autoSpaceDE/>
              <w:autoSpaceDN/>
              <w:spacing w:line="400" w:lineRule="exact"/>
              <w:jc w:val="center"/>
              <w:rPr>
                <w:rFonts w:hint="eastAsia" w:cs="Times New Roman"/>
                <w:kern w:val="2"/>
                <w:sz w:val="21"/>
                <w:szCs w:val="20"/>
                <w:lang w:eastAsia="zh-CN"/>
              </w:rPr>
            </w:pPr>
            <w:r>
              <w:rPr>
                <w:rFonts w:hint="eastAsia" w:cs="Times New Roman"/>
                <w:kern w:val="2"/>
                <w:sz w:val="21"/>
                <w:szCs w:val="20"/>
                <w:lang w:eastAsia="zh-CN"/>
              </w:rPr>
              <w:t>合计</w:t>
            </w:r>
          </w:p>
        </w:tc>
        <w:tc>
          <w:tcPr>
            <w:tcW w:w="1418"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4,758,686.00</w:t>
            </w:r>
          </w:p>
        </w:tc>
        <w:tc>
          <w:tcPr>
            <w:tcW w:w="1417" w:type="dxa"/>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4,758,686.00</w:t>
            </w:r>
          </w:p>
        </w:tc>
        <w:tc>
          <w:tcPr>
            <w:tcW w:w="1409"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267,724.35</w:t>
            </w:r>
          </w:p>
        </w:tc>
        <w:tc>
          <w:tcPr>
            <w:tcW w:w="1791" w:type="dxa"/>
            <w:vAlign w:val="center"/>
          </w:tcPr>
          <w:p>
            <w:pPr>
              <w:autoSpaceDE/>
              <w:autoSpaceDN/>
              <w:spacing w:line="400" w:lineRule="exact"/>
              <w:jc w:val="right"/>
              <w:rPr>
                <w:rFonts w:hint="eastAsia" w:cs="Times New Roman"/>
                <w:kern w:val="2"/>
                <w:sz w:val="18"/>
                <w:szCs w:val="18"/>
                <w:lang w:eastAsia="zh-CN"/>
              </w:rPr>
            </w:pPr>
            <w:r>
              <w:rPr>
                <w:rFonts w:hint="eastAsia" w:cs="Times New Roman"/>
                <w:kern w:val="2"/>
                <w:sz w:val="18"/>
                <w:szCs w:val="18"/>
                <w:lang w:eastAsia="zh-CN"/>
              </w:rPr>
              <w:t>4,490,961.65</w:t>
            </w:r>
          </w:p>
        </w:tc>
      </w:tr>
    </w:tbl>
    <w:p>
      <w:pPr>
        <w:pStyle w:val="4"/>
        <w:spacing w:before="36" w:beforeLines="15" w:line="374" w:lineRule="auto"/>
        <w:ind w:left="46" w:leftChars="21" w:right="352" w:rightChars="160" w:firstLine="198" w:firstLineChars="84"/>
        <w:rPr>
          <w:rFonts w:hint="eastAsia"/>
          <w:spacing w:val="-2"/>
          <w:lang w:eastAsia="zh-CN"/>
        </w:rPr>
      </w:pPr>
    </w:p>
    <w:p>
      <w:pPr>
        <w:pStyle w:val="4"/>
        <w:spacing w:before="36" w:beforeLines="15" w:line="374" w:lineRule="auto"/>
        <w:ind w:left="46" w:leftChars="21" w:right="352" w:rightChars="160" w:firstLine="435" w:firstLineChars="184"/>
        <w:rPr>
          <w:rFonts w:hint="eastAsia"/>
          <w:b/>
          <w:bCs/>
          <w:spacing w:val="-2"/>
          <w:lang w:eastAsia="zh-CN"/>
        </w:rPr>
      </w:pPr>
      <w:r>
        <w:rPr>
          <w:rFonts w:hint="eastAsia"/>
          <w:b/>
          <w:bCs/>
          <w:spacing w:val="-2"/>
          <w:lang w:eastAsia="zh-CN"/>
        </w:rPr>
        <w:t>五、审计意见</w:t>
      </w:r>
    </w:p>
    <w:p>
      <w:pPr>
        <w:pStyle w:val="4"/>
        <w:spacing w:before="12" w:beforeLines="5" w:line="375" w:lineRule="auto"/>
        <w:ind w:left="46" w:leftChars="21" w:right="352" w:rightChars="160" w:firstLine="476"/>
        <w:jc w:val="both"/>
        <w:rPr>
          <w:rFonts w:hint="eastAsia"/>
          <w:spacing w:val="-2"/>
          <w:lang w:eastAsia="zh-CN"/>
        </w:rPr>
      </w:pPr>
      <w:r>
        <w:rPr>
          <w:rFonts w:hint="eastAsia"/>
          <w:spacing w:val="-2"/>
          <w:lang w:eastAsia="zh-CN"/>
        </w:rPr>
        <w:t>海吉星公司申报的</w:t>
      </w:r>
      <w:r>
        <w:rPr>
          <w:lang w:eastAsia="zh-CN"/>
        </w:rPr>
        <w:t>202</w:t>
      </w:r>
      <w:r>
        <w:rPr>
          <w:rFonts w:hint="eastAsia"/>
          <w:lang w:eastAsia="zh-CN"/>
        </w:rPr>
        <w:t>4</w:t>
      </w:r>
      <w:r>
        <w:rPr>
          <w:lang w:eastAsia="zh-CN"/>
        </w:rPr>
        <w:t>年消费帮扶产品“</w:t>
      </w:r>
      <w:r>
        <w:rPr>
          <w:rFonts w:hint="eastAsia"/>
          <w:lang w:eastAsia="zh-CN"/>
        </w:rPr>
        <w:t>消费帮扶金秋行动之寻味广东</w:t>
      </w:r>
      <w:r>
        <w:rPr>
          <w:lang w:eastAsia="zh-CN"/>
        </w:rPr>
        <w:t>”活动</w:t>
      </w:r>
      <w:r>
        <w:rPr>
          <w:rFonts w:hint="eastAsia"/>
          <w:spacing w:val="-2"/>
          <w:lang w:eastAsia="zh-CN"/>
        </w:rPr>
        <w:t>等8</w:t>
      </w:r>
      <w:r>
        <w:rPr>
          <w:spacing w:val="-2"/>
          <w:lang w:eastAsia="zh-CN"/>
        </w:rPr>
        <w:t>个项目资金使用情况符合《深圳海吉星消费帮扶中心展销展览资金使用操作规程（修订稿）》等相关政策的要求。</w:t>
      </w:r>
    </w:p>
    <w:p>
      <w:pPr>
        <w:pStyle w:val="4"/>
        <w:spacing w:before="36" w:beforeLines="15" w:line="374" w:lineRule="auto"/>
        <w:ind w:left="46" w:leftChars="21" w:right="352" w:rightChars="160" w:firstLine="435" w:firstLineChars="184"/>
        <w:jc w:val="both"/>
        <w:rPr>
          <w:rFonts w:hint="eastAsia"/>
          <w:b/>
          <w:bCs/>
          <w:spacing w:val="-2"/>
          <w:lang w:eastAsia="zh-CN"/>
        </w:rPr>
      </w:pPr>
      <w:r>
        <w:rPr>
          <w:rFonts w:hint="eastAsia"/>
          <w:b/>
          <w:bCs/>
          <w:spacing w:val="-2"/>
          <w:lang w:eastAsia="zh-CN"/>
        </w:rPr>
        <w:t>六、其他说明</w:t>
      </w:r>
    </w:p>
    <w:p>
      <w:pPr>
        <w:pStyle w:val="4"/>
        <w:spacing w:before="12" w:beforeLines="5" w:line="375" w:lineRule="auto"/>
        <w:ind w:left="44" w:leftChars="20" w:right="352" w:rightChars="160" w:firstLine="476"/>
        <w:jc w:val="both"/>
        <w:rPr>
          <w:rFonts w:hint="eastAsia"/>
          <w:spacing w:val="-2"/>
          <w:lang w:eastAsia="zh-CN"/>
        </w:rPr>
      </w:pPr>
      <w:r>
        <w:rPr>
          <w:rFonts w:hint="eastAsia"/>
          <w:spacing w:val="-2"/>
          <w:lang w:eastAsia="zh-CN"/>
        </w:rPr>
        <w:t>本报告仅适用于深圳市乡村振兴和协作交流局审核海吉星公司申报的2</w:t>
      </w:r>
      <w:r>
        <w:rPr>
          <w:spacing w:val="-2"/>
          <w:lang w:eastAsia="zh-CN"/>
        </w:rPr>
        <w:t>02</w:t>
      </w:r>
      <w:r>
        <w:rPr>
          <w:rFonts w:hint="eastAsia"/>
          <w:spacing w:val="-2"/>
          <w:lang w:eastAsia="zh-CN"/>
        </w:rPr>
        <w:t>4年消</w:t>
      </w:r>
      <w:r>
        <w:rPr>
          <w:lang w:eastAsia="zh-CN"/>
        </w:rPr>
        <w:t>费帮扶产品“</w:t>
      </w:r>
      <w:r>
        <w:rPr>
          <w:rFonts w:hint="eastAsia"/>
          <w:lang w:eastAsia="zh-CN"/>
        </w:rPr>
        <w:t>消费帮扶金秋行动之寻味广东</w:t>
      </w:r>
      <w:r>
        <w:rPr>
          <w:lang w:eastAsia="zh-CN"/>
        </w:rPr>
        <w:t>”活动</w:t>
      </w:r>
      <w:r>
        <w:rPr>
          <w:rFonts w:hint="eastAsia"/>
          <w:spacing w:val="-2"/>
          <w:lang w:eastAsia="zh-CN"/>
        </w:rPr>
        <w:t>等8</w:t>
      </w:r>
      <w:r>
        <w:rPr>
          <w:spacing w:val="-2"/>
          <w:lang w:eastAsia="zh-CN"/>
        </w:rPr>
        <w:t>个项目补助资金使用，具有特殊的目的，不适用于其他方面，由于报告使用不当所造成的纠纷或责任，与本所及签字的注册会计师无关。</w:t>
      </w:r>
    </w:p>
    <w:p>
      <w:pPr>
        <w:pStyle w:val="4"/>
        <w:spacing w:before="12" w:beforeLines="5" w:line="375" w:lineRule="auto"/>
        <w:ind w:left="44" w:leftChars="20" w:right="352" w:rightChars="160" w:firstLine="476"/>
        <w:jc w:val="both"/>
        <w:rPr>
          <w:rFonts w:hint="eastAsia"/>
          <w:spacing w:val="-2"/>
          <w:lang w:eastAsia="zh-CN"/>
        </w:rPr>
      </w:pPr>
    </w:p>
    <w:p>
      <w:pPr>
        <w:pStyle w:val="4"/>
        <w:spacing w:before="12" w:beforeLines="5" w:line="375" w:lineRule="auto"/>
        <w:ind w:left="44" w:leftChars="20" w:right="352" w:rightChars="160" w:firstLine="476"/>
        <w:jc w:val="both"/>
        <w:rPr>
          <w:rFonts w:hint="eastAsia"/>
          <w:spacing w:val="-2"/>
          <w:lang w:eastAsia="zh-CN"/>
        </w:rPr>
      </w:pPr>
      <w:r>
        <w:rPr>
          <w:rFonts w:hint="eastAsia"/>
          <w:spacing w:val="-2"/>
          <w:lang w:eastAsia="zh-CN"/>
        </w:rPr>
        <w:t>附件：</w:t>
      </w:r>
      <w:r>
        <w:rPr>
          <w:lang w:eastAsia="zh-CN"/>
        </w:rPr>
        <w:t>202</w:t>
      </w:r>
      <w:r>
        <w:rPr>
          <w:rFonts w:hint="eastAsia"/>
          <w:lang w:eastAsia="zh-CN"/>
        </w:rPr>
        <w:t>4</w:t>
      </w:r>
      <w:r>
        <w:rPr>
          <w:lang w:eastAsia="zh-CN"/>
        </w:rPr>
        <w:t>年消费帮扶产品“</w:t>
      </w:r>
      <w:r>
        <w:rPr>
          <w:rFonts w:hint="eastAsia"/>
          <w:lang w:eastAsia="zh-CN"/>
        </w:rPr>
        <w:t>消费帮扶金秋行动之寻味广东</w:t>
      </w:r>
      <w:r>
        <w:rPr>
          <w:lang w:eastAsia="zh-CN"/>
        </w:rPr>
        <w:t>”活动</w:t>
      </w:r>
      <w:r>
        <w:rPr>
          <w:rFonts w:hint="eastAsia"/>
          <w:spacing w:val="-2"/>
          <w:lang w:eastAsia="zh-CN"/>
        </w:rPr>
        <w:t>等8</w:t>
      </w:r>
      <w:r>
        <w:rPr>
          <w:spacing w:val="-2"/>
          <w:lang w:eastAsia="zh-CN"/>
        </w:rPr>
        <w:t>个项目费用明细表</w:t>
      </w:r>
    </w:p>
    <w:p>
      <w:pPr>
        <w:pStyle w:val="4"/>
        <w:spacing w:before="10" w:line="374" w:lineRule="auto"/>
        <w:ind w:right="159" w:firstLine="84"/>
        <w:rPr>
          <w:rFonts w:hint="eastAsia"/>
          <w:spacing w:val="-2"/>
          <w:lang w:eastAsia="zh-CN"/>
        </w:rPr>
      </w:pPr>
    </w:p>
    <w:p>
      <w:pPr>
        <w:pStyle w:val="4"/>
        <w:spacing w:before="10" w:line="374" w:lineRule="auto"/>
        <w:ind w:right="159" w:firstLine="84"/>
        <w:rPr>
          <w:rFonts w:hint="eastAsia"/>
          <w:spacing w:val="-2"/>
          <w:lang w:eastAsia="zh-CN"/>
        </w:rPr>
      </w:pPr>
    </w:p>
    <w:p>
      <w:pPr>
        <w:pStyle w:val="4"/>
        <w:spacing w:before="10" w:line="374" w:lineRule="auto"/>
        <w:ind w:right="159" w:firstLine="84"/>
        <w:rPr>
          <w:rFonts w:hint="eastAsia"/>
          <w:spacing w:val="-2"/>
          <w:lang w:eastAsia="zh-CN"/>
        </w:rPr>
      </w:pPr>
      <w:r>
        <w:rPr>
          <w:rFonts w:hint="eastAsia"/>
          <w:spacing w:val="-2"/>
          <w:lang w:eastAsia="zh-CN"/>
        </w:rPr>
        <w:t>深圳金为信会计师事务（普通合伙）</w:t>
      </w:r>
      <w:r>
        <w:rPr>
          <w:spacing w:val="-2"/>
          <w:lang w:eastAsia="zh-CN"/>
        </w:rPr>
        <w:t xml:space="preserve">       </w:t>
      </w:r>
      <w:r>
        <w:rPr>
          <w:rFonts w:hint="eastAsia"/>
          <w:spacing w:val="-2"/>
          <w:lang w:eastAsia="zh-CN"/>
        </w:rPr>
        <w:t xml:space="preserve">  </w:t>
      </w:r>
      <w:r>
        <w:rPr>
          <w:spacing w:val="-2"/>
          <w:lang w:eastAsia="zh-CN"/>
        </w:rPr>
        <w:t xml:space="preserve">        中国注册会计师：</w:t>
      </w:r>
    </w:p>
    <w:p>
      <w:pPr>
        <w:pStyle w:val="4"/>
        <w:spacing w:before="10" w:line="374" w:lineRule="auto"/>
        <w:ind w:right="159" w:firstLine="84"/>
        <w:rPr>
          <w:rFonts w:hint="eastAsia"/>
          <w:spacing w:val="-2"/>
          <w:lang w:eastAsia="zh-CN"/>
        </w:rPr>
      </w:pPr>
    </w:p>
    <w:p>
      <w:pPr>
        <w:pStyle w:val="4"/>
        <w:spacing w:before="10" w:line="374" w:lineRule="auto"/>
        <w:ind w:right="159" w:firstLine="84"/>
        <w:rPr>
          <w:rFonts w:hint="eastAsia"/>
          <w:spacing w:val="-2"/>
          <w:lang w:eastAsia="zh-CN"/>
        </w:rPr>
      </w:pPr>
    </w:p>
    <w:p>
      <w:pPr>
        <w:pStyle w:val="4"/>
        <w:spacing w:before="10" w:line="374" w:lineRule="auto"/>
        <w:ind w:right="159" w:firstLine="236" w:firstLineChars="100"/>
        <w:rPr>
          <w:rFonts w:hint="eastAsia"/>
          <w:spacing w:val="-2"/>
          <w:lang w:eastAsia="zh-CN"/>
        </w:rPr>
      </w:pPr>
      <w:r>
        <w:rPr>
          <w:rFonts w:hint="eastAsia"/>
          <w:spacing w:val="-2"/>
          <w:lang w:eastAsia="zh-CN"/>
        </w:rPr>
        <w:t>中国·深圳</w:t>
      </w:r>
      <w:r>
        <w:rPr>
          <w:spacing w:val="-2"/>
          <w:lang w:eastAsia="zh-CN"/>
        </w:rPr>
        <w:t xml:space="preserve">                       </w:t>
      </w:r>
      <w:r>
        <w:rPr>
          <w:rFonts w:hint="eastAsia"/>
          <w:spacing w:val="-2"/>
          <w:lang w:eastAsia="zh-CN"/>
        </w:rPr>
        <w:t xml:space="preserve">           </w:t>
      </w:r>
      <w:r>
        <w:rPr>
          <w:spacing w:val="-2"/>
          <w:lang w:eastAsia="zh-CN"/>
        </w:rPr>
        <w:t xml:space="preserve"> </w:t>
      </w:r>
      <w:r>
        <w:rPr>
          <w:rFonts w:hint="eastAsia"/>
          <w:spacing w:val="-2"/>
          <w:lang w:eastAsia="zh-CN"/>
        </w:rPr>
        <w:t xml:space="preserve">  </w:t>
      </w:r>
      <w:r>
        <w:rPr>
          <w:spacing w:val="-2"/>
          <w:lang w:eastAsia="zh-CN"/>
        </w:rPr>
        <w:t xml:space="preserve"> 中国注册会计师： </w:t>
      </w:r>
      <w:r>
        <w:rPr>
          <w:rFonts w:hint="eastAsia"/>
          <w:spacing w:val="-2"/>
          <w:lang w:eastAsia="zh-CN"/>
        </w:rPr>
        <w:t xml:space="preserve"> </w:t>
      </w:r>
    </w:p>
    <w:p>
      <w:pPr>
        <w:pStyle w:val="4"/>
        <w:spacing w:before="10" w:line="374" w:lineRule="auto"/>
        <w:ind w:right="159"/>
        <w:rPr>
          <w:rFonts w:hint="eastAsia"/>
          <w:spacing w:val="-2"/>
          <w:lang w:eastAsia="zh-CN"/>
        </w:rPr>
      </w:pPr>
    </w:p>
    <w:p>
      <w:pPr>
        <w:pStyle w:val="4"/>
        <w:spacing w:before="10" w:line="374" w:lineRule="auto"/>
        <w:ind w:right="159"/>
        <w:rPr>
          <w:rFonts w:hint="eastAsia"/>
          <w:spacing w:val="-2"/>
          <w:lang w:eastAsia="zh-CN"/>
        </w:rPr>
      </w:pPr>
    </w:p>
    <w:p>
      <w:pPr>
        <w:pStyle w:val="4"/>
        <w:spacing w:before="10" w:line="374" w:lineRule="auto"/>
        <w:ind w:right="159"/>
        <w:jc w:val="center"/>
        <w:rPr>
          <w:rFonts w:hint="eastAsia"/>
          <w:spacing w:val="-2"/>
          <w:lang w:eastAsia="zh-CN"/>
        </w:rPr>
      </w:pPr>
      <w:r>
        <w:rPr>
          <w:rFonts w:hint="eastAsia"/>
          <w:spacing w:val="-2"/>
          <w:lang w:eastAsia="zh-CN"/>
        </w:rPr>
        <w:t xml:space="preserve">                                    二〇</w:t>
      </w:r>
      <w:r>
        <w:rPr>
          <w:spacing w:val="-2"/>
          <w:lang w:eastAsia="zh-CN"/>
        </w:rPr>
        <w:t>二</w:t>
      </w:r>
      <w:r>
        <w:rPr>
          <w:rFonts w:hint="eastAsia"/>
          <w:spacing w:val="-2"/>
          <w:lang w:eastAsia="zh-CN"/>
        </w:rPr>
        <w:t>四</w:t>
      </w:r>
      <w:r>
        <w:rPr>
          <w:spacing w:val="-2"/>
          <w:lang w:eastAsia="zh-CN"/>
        </w:rPr>
        <w:t>年</w:t>
      </w:r>
      <w:r>
        <w:rPr>
          <w:rFonts w:hint="eastAsia"/>
          <w:spacing w:val="-2"/>
          <w:lang w:eastAsia="zh-CN"/>
        </w:rPr>
        <w:t>十一</w:t>
      </w:r>
      <w:r>
        <w:rPr>
          <w:spacing w:val="-2"/>
          <w:lang w:eastAsia="zh-CN"/>
        </w:rPr>
        <w:t>月十</w:t>
      </w:r>
      <w:r>
        <w:rPr>
          <w:rFonts w:hint="eastAsia"/>
          <w:spacing w:val="-2"/>
          <w:lang w:eastAsia="zh-CN"/>
        </w:rPr>
        <w:t>三</w:t>
      </w:r>
      <w:r>
        <w:rPr>
          <w:spacing w:val="-2"/>
          <w:lang w:eastAsia="zh-CN"/>
        </w:rPr>
        <w:t>日</w:t>
      </w:r>
    </w:p>
    <w:p>
      <w:pPr>
        <w:pStyle w:val="4"/>
        <w:spacing w:before="1" w:line="375" w:lineRule="auto"/>
        <w:ind w:left="44" w:leftChars="20" w:right="907" w:firstLine="476"/>
        <w:rPr>
          <w:rFonts w:hint="eastAsia"/>
          <w:lang w:eastAsia="zh-CN"/>
        </w:rPr>
        <w:sectPr>
          <w:footerReference r:id="rId5" w:type="default"/>
          <w:pgSz w:w="11910" w:h="16840"/>
          <w:pgMar w:top="1519" w:right="726" w:bottom="1440" w:left="1460" w:header="0" w:footer="1253" w:gutter="0"/>
          <w:pgNumType w:start="1"/>
          <w:cols w:space="0" w:num="1"/>
        </w:sectPr>
      </w:pPr>
    </w:p>
    <w:p>
      <w:pPr>
        <w:pStyle w:val="4"/>
        <w:spacing w:before="1" w:line="375" w:lineRule="auto"/>
        <w:ind w:left="44" w:leftChars="20" w:right="907" w:firstLine="476"/>
        <w:jc w:val="both"/>
        <w:rPr>
          <w:rFonts w:hint="eastAsia"/>
          <w:spacing w:val="-2"/>
          <w:lang w:eastAsia="zh-CN"/>
        </w:rPr>
      </w:pPr>
    </w:p>
    <w:p>
      <w:pPr>
        <w:rPr>
          <w:rFonts w:hint="eastAsia"/>
        </w:rPr>
      </w:pPr>
    </w:p>
    <w:sectPr>
      <w:pgSz w:w="11906" w:h="16838"/>
      <w:pgMar w:top="1514" w:right="777" w:bottom="720" w:left="151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DFKai-SB">
    <w:altName w:val="C059"/>
    <w:panose1 w:val="00000000000000000000"/>
    <w:charset w:val="88"/>
    <w:family w:val="script"/>
    <w:pitch w:val="default"/>
    <w:sig w:usb0="00000000" w:usb1="00000000" w:usb2="00000016" w:usb3="00000000" w:csb0="00100001"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862"/>
      </w:tabs>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5"/>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sz w:val="20"/>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16"/>
    <w:rsid w:val="003E6E9A"/>
    <w:rsid w:val="007A2B2B"/>
    <w:rsid w:val="008F4016"/>
    <w:rsid w:val="00903560"/>
    <w:rsid w:val="00A603F1"/>
    <w:rsid w:val="00AB4DA7"/>
    <w:rsid w:val="00B271FB"/>
    <w:rsid w:val="00D5669A"/>
    <w:rsid w:val="00E52D5B"/>
    <w:rsid w:val="00EE2274"/>
    <w:rsid w:val="2FF91740"/>
    <w:rsid w:val="3BFFA3A8"/>
    <w:rsid w:val="73DA536E"/>
    <w:rsid w:val="7DBF6E92"/>
    <w:rsid w:val="7FADA20E"/>
    <w:rsid w:val="7FEF7052"/>
    <w:rsid w:val="FFC6C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11"/>
    <w:qFormat/>
    <w:uiPriority w:val="9"/>
    <w:pPr>
      <w:ind w:left="287"/>
      <w:jc w:val="center"/>
      <w:outlineLvl w:val="0"/>
    </w:pPr>
    <w:rPr>
      <w:b/>
      <w:bCs/>
      <w:sz w:val="36"/>
      <w:szCs w:val="36"/>
    </w:rPr>
  </w:style>
  <w:style w:type="paragraph" w:styleId="3">
    <w:name w:val="heading 2"/>
    <w:basedOn w:val="1"/>
    <w:next w:val="1"/>
    <w:link w:val="12"/>
    <w:unhideWhenUsed/>
    <w:qFormat/>
    <w:uiPriority w:val="9"/>
    <w:pPr>
      <w:ind w:left="601"/>
      <w:outlineLvl w:val="1"/>
    </w:pPr>
    <w:rPr>
      <w:b/>
      <w:bCs/>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3"/>
    <w:qFormat/>
    <w:uiPriority w:val="1"/>
    <w:rPr>
      <w:sz w:val="24"/>
      <w:szCs w:val="24"/>
    </w:rPr>
  </w:style>
  <w:style w:type="paragraph" w:styleId="5">
    <w:name w:val="footer"/>
    <w:basedOn w:val="1"/>
    <w:link w:val="10"/>
    <w:unhideWhenUsed/>
    <w:qFormat/>
    <w:uiPriority w:val="99"/>
    <w:pPr>
      <w:tabs>
        <w:tab w:val="center" w:pos="4153"/>
        <w:tab w:val="right" w:pos="8306"/>
      </w:tabs>
      <w:autoSpaceDE/>
      <w:autoSpaceDN/>
      <w:snapToGrid w:val="0"/>
    </w:pPr>
    <w:rPr>
      <w:rFonts w:asciiTheme="minorHAnsi" w:hAnsiTheme="minorHAnsi" w:eastAsiaTheme="minorEastAsia" w:cstheme="minorBidi"/>
      <w:kern w:val="2"/>
      <w:sz w:val="18"/>
      <w:szCs w:val="18"/>
      <w:lang w:eastAsia="zh-CN"/>
    </w:rPr>
  </w:style>
  <w:style w:type="paragraph" w:styleId="6">
    <w:name w:val="header"/>
    <w:basedOn w:val="1"/>
    <w:link w:val="9"/>
    <w:unhideWhenUsed/>
    <w:qFormat/>
    <w:uiPriority w:val="99"/>
    <w:pPr>
      <w:tabs>
        <w:tab w:val="center" w:pos="4153"/>
        <w:tab w:val="right" w:pos="8306"/>
      </w:tabs>
      <w:autoSpaceDE/>
      <w:autoSpaceDN/>
      <w:snapToGrid w:val="0"/>
      <w:jc w:val="center"/>
    </w:pPr>
    <w:rPr>
      <w:rFonts w:asciiTheme="minorHAnsi" w:hAnsiTheme="minorHAnsi" w:eastAsiaTheme="minorEastAsia" w:cstheme="minorBidi"/>
      <w:kern w:val="2"/>
      <w:sz w:val="18"/>
      <w:szCs w:val="18"/>
      <w:lang w:eastAsia="zh-CN"/>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标题 1 字符"/>
    <w:basedOn w:val="8"/>
    <w:link w:val="2"/>
    <w:qFormat/>
    <w:uiPriority w:val="9"/>
    <w:rPr>
      <w:rFonts w:ascii="宋体" w:hAnsi="宋体" w:eastAsia="宋体" w:cs="宋体"/>
      <w:b/>
      <w:bCs/>
      <w:kern w:val="0"/>
      <w:sz w:val="36"/>
      <w:szCs w:val="36"/>
      <w:lang w:eastAsia="en-US"/>
    </w:rPr>
  </w:style>
  <w:style w:type="character" w:customStyle="1" w:styleId="12">
    <w:name w:val="标题 2 字符"/>
    <w:basedOn w:val="8"/>
    <w:link w:val="3"/>
    <w:qFormat/>
    <w:uiPriority w:val="9"/>
    <w:rPr>
      <w:rFonts w:ascii="宋体" w:hAnsi="宋体" w:eastAsia="宋体" w:cs="宋体"/>
      <w:b/>
      <w:bCs/>
      <w:kern w:val="0"/>
      <w:sz w:val="24"/>
      <w:szCs w:val="24"/>
      <w:lang w:eastAsia="en-US"/>
    </w:rPr>
  </w:style>
  <w:style w:type="character" w:customStyle="1" w:styleId="13">
    <w:name w:val="正文文本 字符"/>
    <w:basedOn w:val="8"/>
    <w:link w:val="4"/>
    <w:qFormat/>
    <w:uiPriority w:val="1"/>
    <w:rPr>
      <w:rFonts w:ascii="宋体" w:hAnsi="宋体" w:eastAsia="宋体" w:cs="宋体"/>
      <w:kern w:val="0"/>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1011</Words>
  <Characters>5766</Characters>
  <Lines>48</Lines>
  <Paragraphs>13</Paragraphs>
  <TotalTime>14</TotalTime>
  <ScaleCrop>false</ScaleCrop>
  <LinksUpToDate>false</LinksUpToDate>
  <CharactersWithSpaces>6764</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2024-11-22T10:36:00Z</dcterms:created>
  <dc:creator>Administrator</dc:creator>
  <cp:lastModifiedBy>pangrensong</cp:lastModifiedBy>
  <cp:lastPrinted>2024-11-26T10:07:50Z</cp:lastPrinted>
  <dcterms:modified xsi:type="dcterms:W3CDTF">2024-11-26T10:23:24Z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568BE05526D7434F6526446722E8C667</vt:lpwstr>
  </property>
</Properties>
</file>