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扶贫协作和合作交流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办公室廉政风险防控图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意见采纳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5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意见和建议</w:t>
            </w:r>
          </w:p>
        </w:tc>
        <w:tc>
          <w:tcPr>
            <w:tcW w:w="35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《资金管理（扶贫合作专项资金和前方派驻机构行政经费）廉政风险防控图》提出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“专项资金处汇总各业务处室关于追加资金的需求，严格按照程序报市财政局审核、对口支援工作领导小组审议、市政府审定，审定后及时拨付……”修改为“专项资金处汇总各业务处室关于追加资金的需求，征求市财政局等有关部门意见，并严格按照程序报对口支援工作领导小组审议、市政府审定，审定后及时拨付……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采纳。已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修改为“专项资金处汇总各业务处室关于追加资金的需求，征求市财政局等有关部门意见，并严格按照程序报对口支援工作领导小组审议、市政府审定，审定后及时拨付……”。</w:t>
            </w:r>
          </w:p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建议将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扶贫合作地区的大型经贸展会项目组团组织工作廉政风险防控图》提出“规范财政资金拨付流程，及时受理承办单位的资助资金拨付申请，协助市财政局核定拨付金额和及时完成资助资金拨付流程……”。改为“规范财政资金拨付流程，及时受理承办单位的资助资金拨付申请，依法依规核定拨付金额和及时完成资助资金拨付流程……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采纳。已修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改为“规范财政资金拨付流程，及时受理承办单位的资助资金拨付申请，依法依规核定拨付金额和及时完成资助资金拨付流程……”。</w:t>
            </w:r>
          </w:p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36B9B"/>
    <w:rsid w:val="34031110"/>
    <w:rsid w:val="54E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2020-04-16T11:36:00Z</dcterms:created>
  <dc:creator>马晓飞</dc:creator>
  <cp:lastModifiedBy>Jc</cp:lastModifiedBy>
  <dcterms:modified xsi:type="dcterms:W3CDTF">2020-04-16T12:07:02Z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